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AF8E" w14:textId="69B4A080" w:rsidR="0084768D" w:rsidRPr="00052840" w:rsidRDefault="0084768D" w:rsidP="00052840">
      <w:pPr>
        <w:pStyle w:val="Heading1"/>
        <w:spacing w:after="0"/>
        <w:jc w:val="center"/>
        <w:rPr>
          <w:b w:val="0"/>
          <w:bCs w:val="0"/>
          <w:sz w:val="22"/>
          <w:szCs w:val="22"/>
        </w:rPr>
      </w:pPr>
      <w:r w:rsidRPr="00052840">
        <w:rPr>
          <w:b w:val="0"/>
          <w:bCs w:val="0"/>
          <w:sz w:val="22"/>
          <w:szCs w:val="22"/>
        </w:rPr>
        <w:t>Nebraska Technical Advisory Committee Meeting</w:t>
      </w:r>
      <w:r w:rsidR="00055740" w:rsidRPr="00052840">
        <w:rPr>
          <w:b w:val="0"/>
          <w:bCs w:val="0"/>
          <w:sz w:val="22"/>
          <w:szCs w:val="22"/>
        </w:rPr>
        <w:t xml:space="preserve"> </w:t>
      </w:r>
      <w:r w:rsidR="006F7D4F" w:rsidRPr="00052840">
        <w:rPr>
          <w:b w:val="0"/>
          <w:bCs w:val="0"/>
          <w:sz w:val="22"/>
          <w:szCs w:val="22"/>
        </w:rPr>
        <w:t>Minutes</w:t>
      </w:r>
    </w:p>
    <w:p w14:paraId="7F1898BA" w14:textId="77777777" w:rsidR="00052840" w:rsidRDefault="0084768D" w:rsidP="00052840">
      <w:pPr>
        <w:spacing w:line="240" w:lineRule="auto"/>
        <w:jc w:val="center"/>
        <w:rPr>
          <w:sz w:val="22"/>
          <w:szCs w:val="22"/>
        </w:rPr>
      </w:pPr>
      <w:r w:rsidRPr="00052840">
        <w:rPr>
          <w:sz w:val="22"/>
          <w:szCs w:val="22"/>
        </w:rPr>
        <w:t>Nebraska Department of Education</w:t>
      </w:r>
    </w:p>
    <w:p w14:paraId="308E96E8" w14:textId="683973B3" w:rsidR="0084768D" w:rsidRPr="00052840" w:rsidRDefault="008D1652" w:rsidP="00052840">
      <w:pPr>
        <w:spacing w:line="240" w:lineRule="auto"/>
        <w:jc w:val="center"/>
        <w:rPr>
          <w:sz w:val="22"/>
          <w:szCs w:val="22"/>
        </w:rPr>
      </w:pPr>
      <w:r w:rsidRPr="00052840">
        <w:rPr>
          <w:sz w:val="22"/>
          <w:szCs w:val="22"/>
        </w:rPr>
        <w:t>February 20, 2026</w:t>
      </w:r>
    </w:p>
    <w:p w14:paraId="58808248" w14:textId="4474208B" w:rsidR="0084768D" w:rsidRPr="00052840" w:rsidRDefault="002C35EA" w:rsidP="00052840">
      <w:pPr>
        <w:spacing w:line="240" w:lineRule="auto"/>
        <w:jc w:val="center"/>
        <w:rPr>
          <w:sz w:val="22"/>
          <w:szCs w:val="22"/>
        </w:rPr>
      </w:pPr>
      <w:r w:rsidRPr="00052840">
        <w:rPr>
          <w:sz w:val="22"/>
          <w:szCs w:val="22"/>
        </w:rPr>
        <w:t xml:space="preserve">8:30 a.m. – </w:t>
      </w:r>
      <w:r w:rsidR="008D1652" w:rsidRPr="00052840">
        <w:rPr>
          <w:sz w:val="22"/>
          <w:szCs w:val="22"/>
        </w:rPr>
        <w:t>1</w:t>
      </w:r>
      <w:r w:rsidRPr="00052840">
        <w:rPr>
          <w:sz w:val="22"/>
          <w:szCs w:val="22"/>
        </w:rPr>
        <w:t>:</w:t>
      </w:r>
      <w:r w:rsidR="008D1652" w:rsidRPr="00052840">
        <w:rPr>
          <w:sz w:val="22"/>
          <w:szCs w:val="22"/>
        </w:rPr>
        <w:t>3</w:t>
      </w:r>
      <w:r w:rsidRPr="00052840">
        <w:rPr>
          <w:sz w:val="22"/>
          <w:szCs w:val="22"/>
        </w:rPr>
        <w:t>0 p.m.</w:t>
      </w:r>
    </w:p>
    <w:p w14:paraId="69696BC3" w14:textId="06DA4B78" w:rsidR="000B264D" w:rsidRDefault="000B264D" w:rsidP="00052840">
      <w:pPr>
        <w:spacing w:line="240" w:lineRule="auto"/>
        <w:jc w:val="center"/>
        <w:rPr>
          <w:sz w:val="22"/>
          <w:szCs w:val="22"/>
        </w:rPr>
      </w:pPr>
      <w:r w:rsidRPr="00052840">
        <w:rPr>
          <w:sz w:val="22"/>
          <w:szCs w:val="22"/>
        </w:rPr>
        <w:t xml:space="preserve">Location: </w:t>
      </w:r>
      <w:r w:rsidR="002C35EA" w:rsidRPr="00052840">
        <w:rPr>
          <w:sz w:val="22"/>
          <w:szCs w:val="22"/>
        </w:rPr>
        <w:t>Nebraska Department of Education Boardroom</w:t>
      </w:r>
    </w:p>
    <w:p w14:paraId="29A6157F" w14:textId="77777777" w:rsidR="00052840" w:rsidRPr="00052840" w:rsidRDefault="00052840" w:rsidP="00052840">
      <w:pPr>
        <w:spacing w:line="240" w:lineRule="auto"/>
        <w:jc w:val="center"/>
        <w:rPr>
          <w:sz w:val="22"/>
          <w:szCs w:val="22"/>
        </w:rPr>
      </w:pPr>
    </w:p>
    <w:p w14:paraId="28774880" w14:textId="47C4D681" w:rsidR="000B264D" w:rsidRPr="00052840" w:rsidRDefault="000B264D" w:rsidP="00052840">
      <w:pPr>
        <w:pStyle w:val="Heading2"/>
        <w:jc w:val="center"/>
        <w:rPr>
          <w:sz w:val="22"/>
          <w:szCs w:val="22"/>
        </w:rPr>
      </w:pPr>
      <w:r w:rsidRPr="00052840">
        <w:rPr>
          <w:sz w:val="22"/>
          <w:szCs w:val="22"/>
        </w:rPr>
        <w:t>Agenda</w:t>
      </w:r>
    </w:p>
    <w:p w14:paraId="0CA2C28D" w14:textId="77777777" w:rsidR="001A280C" w:rsidRPr="00052840" w:rsidRDefault="001A280C" w:rsidP="003F5B05">
      <w:pPr>
        <w:pStyle w:val="Heading2"/>
        <w:tabs>
          <w:tab w:val="left" w:pos="2538"/>
        </w:tabs>
        <w:ind w:left="113"/>
        <w:rPr>
          <w:sz w:val="22"/>
          <w:szCs w:val="22"/>
        </w:rPr>
      </w:pPr>
      <w:r w:rsidRPr="00052840">
        <w:rPr>
          <w:sz w:val="22"/>
          <w:szCs w:val="22"/>
        </w:rPr>
        <w:t>TIME</w:t>
      </w:r>
      <w:r w:rsidRPr="00052840">
        <w:rPr>
          <w:sz w:val="22"/>
          <w:szCs w:val="22"/>
        </w:rPr>
        <w:tab/>
        <w:t>Topic</w:t>
      </w:r>
    </w:p>
    <w:p w14:paraId="27BE8852" w14:textId="0961A684" w:rsidR="00052840" w:rsidRDefault="001A280C" w:rsidP="001A280C">
      <w:pPr>
        <w:tabs>
          <w:tab w:val="left" w:pos="2538"/>
        </w:tabs>
        <w:ind w:left="2649" w:hanging="2534"/>
        <w:rPr>
          <w:sz w:val="22"/>
          <w:szCs w:val="22"/>
        </w:rPr>
      </w:pPr>
      <w:r w:rsidRPr="00052840">
        <w:rPr>
          <w:sz w:val="22"/>
          <w:szCs w:val="22"/>
        </w:rPr>
        <w:t>8:30 a.m.</w:t>
      </w:r>
      <w:r w:rsidRPr="00052840">
        <w:rPr>
          <w:sz w:val="22"/>
          <w:szCs w:val="22"/>
        </w:rPr>
        <w:tab/>
        <w:t xml:space="preserve">Welcome, Introductions, Approval of </w:t>
      </w:r>
      <w:r w:rsidR="00052840">
        <w:rPr>
          <w:sz w:val="22"/>
          <w:szCs w:val="22"/>
        </w:rPr>
        <w:t xml:space="preserve">October 16, </w:t>
      </w:r>
      <w:proofErr w:type="gramStart"/>
      <w:r w:rsidR="00052840">
        <w:rPr>
          <w:sz w:val="22"/>
          <w:szCs w:val="22"/>
        </w:rPr>
        <w:t>2025</w:t>
      </w:r>
      <w:proofErr w:type="gramEnd"/>
      <w:r w:rsidR="00052840">
        <w:rPr>
          <w:sz w:val="22"/>
          <w:szCs w:val="22"/>
        </w:rPr>
        <w:t xml:space="preserve"> and November 12, </w:t>
      </w:r>
      <w:proofErr w:type="gramStart"/>
      <w:r w:rsidR="00052840">
        <w:rPr>
          <w:sz w:val="22"/>
          <w:szCs w:val="22"/>
        </w:rPr>
        <w:t>2025</w:t>
      </w:r>
      <w:proofErr w:type="gramEnd"/>
      <w:r w:rsidRPr="00052840">
        <w:rPr>
          <w:sz w:val="22"/>
          <w:szCs w:val="22"/>
        </w:rPr>
        <w:t xml:space="preserve"> minutes from TAC Chair Chad Buckendahl Document 1</w:t>
      </w:r>
      <w:r w:rsidR="00052840">
        <w:rPr>
          <w:sz w:val="22"/>
          <w:szCs w:val="22"/>
        </w:rPr>
        <w:t xml:space="preserve"> </w:t>
      </w:r>
    </w:p>
    <w:p w14:paraId="5B0E4495" w14:textId="5084238E" w:rsidR="001A280C" w:rsidRPr="00052840" w:rsidRDefault="00052840" w:rsidP="001A280C">
      <w:pPr>
        <w:tabs>
          <w:tab w:val="left" w:pos="2538"/>
        </w:tabs>
        <w:ind w:left="2649" w:hanging="2534"/>
        <w:rPr>
          <w:sz w:val="22"/>
          <w:szCs w:val="22"/>
        </w:rPr>
      </w:pPr>
      <w:r>
        <w:rPr>
          <w:sz w:val="22"/>
          <w:szCs w:val="22"/>
        </w:rPr>
        <w:tab/>
        <w:t xml:space="preserve">Recognition of service – Linda Poole </w:t>
      </w:r>
    </w:p>
    <w:p w14:paraId="4D69EC28" w14:textId="2B627606" w:rsidR="001A280C" w:rsidRPr="00052840" w:rsidRDefault="001A280C" w:rsidP="000B264D">
      <w:pPr>
        <w:tabs>
          <w:tab w:val="left" w:pos="2538"/>
        </w:tabs>
        <w:ind w:left="113"/>
        <w:rPr>
          <w:sz w:val="22"/>
          <w:szCs w:val="22"/>
        </w:rPr>
      </w:pPr>
      <w:r w:rsidRPr="00052840">
        <w:rPr>
          <w:sz w:val="22"/>
          <w:szCs w:val="22"/>
        </w:rPr>
        <w:t>8:4</w:t>
      </w:r>
      <w:r w:rsidR="00052840">
        <w:rPr>
          <w:sz w:val="22"/>
          <w:szCs w:val="22"/>
        </w:rPr>
        <w:t>5</w:t>
      </w:r>
      <w:r w:rsidRPr="00052840">
        <w:rPr>
          <w:sz w:val="22"/>
          <w:szCs w:val="22"/>
        </w:rPr>
        <w:t xml:space="preserve"> a.m.</w:t>
      </w:r>
      <w:r w:rsidRPr="00052840">
        <w:rPr>
          <w:sz w:val="22"/>
          <w:szCs w:val="22"/>
        </w:rPr>
        <w:tab/>
        <w:t>NWEA – Updates</w:t>
      </w:r>
    </w:p>
    <w:p w14:paraId="7395A72D" w14:textId="4E8262BA" w:rsidR="001A280C" w:rsidRPr="00052840" w:rsidRDefault="00052840" w:rsidP="000B264D">
      <w:pPr>
        <w:tabs>
          <w:tab w:val="left" w:pos="2538"/>
        </w:tabs>
        <w:ind w:left="113"/>
        <w:rPr>
          <w:sz w:val="22"/>
          <w:szCs w:val="22"/>
        </w:rPr>
      </w:pPr>
      <w:r>
        <w:rPr>
          <w:sz w:val="22"/>
          <w:szCs w:val="22"/>
        </w:rPr>
        <w:t>10:15</w:t>
      </w:r>
      <w:r w:rsidR="001A280C" w:rsidRPr="00052840">
        <w:rPr>
          <w:sz w:val="22"/>
          <w:szCs w:val="22"/>
        </w:rPr>
        <w:t xml:space="preserve"> a.m.</w:t>
      </w:r>
      <w:r w:rsidR="001A280C" w:rsidRPr="00052840">
        <w:rPr>
          <w:sz w:val="22"/>
          <w:szCs w:val="22"/>
        </w:rPr>
        <w:tab/>
        <w:t>Derek Ippensen Present Accountability Update</w:t>
      </w:r>
    </w:p>
    <w:p w14:paraId="4F3B51B9" w14:textId="0FB2919B" w:rsidR="001A280C" w:rsidRPr="00052840" w:rsidRDefault="001A280C" w:rsidP="000B264D">
      <w:pPr>
        <w:tabs>
          <w:tab w:val="left" w:pos="2538"/>
        </w:tabs>
        <w:ind w:left="113"/>
        <w:rPr>
          <w:sz w:val="22"/>
          <w:szCs w:val="22"/>
        </w:rPr>
      </w:pPr>
      <w:r w:rsidRPr="00052840">
        <w:rPr>
          <w:sz w:val="22"/>
          <w:szCs w:val="22"/>
        </w:rPr>
        <w:t>11:</w:t>
      </w:r>
      <w:r w:rsidR="00052840">
        <w:rPr>
          <w:sz w:val="22"/>
          <w:szCs w:val="22"/>
        </w:rPr>
        <w:t>15</w:t>
      </w:r>
      <w:r w:rsidRPr="00052840">
        <w:rPr>
          <w:sz w:val="22"/>
          <w:szCs w:val="22"/>
        </w:rPr>
        <w:t xml:space="preserve"> a.m.</w:t>
      </w:r>
      <w:r w:rsidRPr="00052840">
        <w:rPr>
          <w:sz w:val="22"/>
          <w:szCs w:val="22"/>
        </w:rPr>
        <w:tab/>
        <w:t>Allyson DenBeste &amp; Olivia Alberts Present Reading Screener Updates</w:t>
      </w:r>
    </w:p>
    <w:p w14:paraId="20EB6EA1" w14:textId="02FFE3AB" w:rsidR="0084768D" w:rsidRPr="00052840" w:rsidRDefault="0084768D" w:rsidP="000B264D">
      <w:pPr>
        <w:rPr>
          <w:sz w:val="22"/>
          <w:szCs w:val="22"/>
        </w:rPr>
      </w:pPr>
    </w:p>
    <w:p w14:paraId="69CED87C" w14:textId="3E35D914" w:rsidR="00536597" w:rsidRDefault="003F5B05" w:rsidP="00536597">
      <w:pPr>
        <w:pStyle w:val="Heading2"/>
        <w:spacing w:after="120"/>
        <w:rPr>
          <w:sz w:val="22"/>
          <w:szCs w:val="22"/>
        </w:rPr>
      </w:pPr>
      <w:r w:rsidRPr="00052840">
        <w:rPr>
          <w:sz w:val="22"/>
          <w:szCs w:val="22"/>
        </w:rPr>
        <w:t xml:space="preserve">8:40 a.m. </w:t>
      </w:r>
      <w:r w:rsidR="00AB519F" w:rsidRPr="00052840">
        <w:rPr>
          <w:sz w:val="22"/>
          <w:szCs w:val="22"/>
        </w:rPr>
        <w:t>NWEA</w:t>
      </w:r>
      <w:r w:rsidR="000B264D" w:rsidRPr="00052840">
        <w:rPr>
          <w:sz w:val="22"/>
          <w:szCs w:val="22"/>
        </w:rPr>
        <w:t xml:space="preserve"> </w:t>
      </w:r>
      <w:r w:rsidR="00536597">
        <w:rPr>
          <w:sz w:val="22"/>
          <w:szCs w:val="22"/>
        </w:rPr>
        <w:t xml:space="preserve">(Adam Johnson, Bailey Beach, Haiyan Lin, Michael Nering, </w:t>
      </w:r>
      <w:proofErr w:type="spellStart"/>
      <w:r w:rsidR="00536597">
        <w:rPr>
          <w:sz w:val="22"/>
          <w:szCs w:val="22"/>
        </w:rPr>
        <w:t>BethAnne</w:t>
      </w:r>
      <w:proofErr w:type="spellEnd"/>
      <w:r w:rsidR="00536597">
        <w:rPr>
          <w:sz w:val="22"/>
          <w:szCs w:val="22"/>
        </w:rPr>
        <w:t xml:space="preserve"> Broxterman)</w:t>
      </w:r>
    </w:p>
    <w:p w14:paraId="655C0A97" w14:textId="058210E5" w:rsidR="000D27F3" w:rsidRPr="00052840" w:rsidRDefault="00536597" w:rsidP="00536597">
      <w:pPr>
        <w:pStyle w:val="Heading2"/>
        <w:spacing w:after="120"/>
        <w:rPr>
          <w:sz w:val="22"/>
          <w:szCs w:val="22"/>
        </w:rPr>
      </w:pPr>
      <w:r>
        <w:rPr>
          <w:sz w:val="22"/>
          <w:szCs w:val="22"/>
        </w:rPr>
        <w:t>Differential Item Functioning (DIF) – NSCAS General</w:t>
      </w:r>
    </w:p>
    <w:p w14:paraId="7EFE6397" w14:textId="77777777" w:rsidR="000D27F3" w:rsidRPr="00052840" w:rsidRDefault="000D27F3" w:rsidP="008574DF">
      <w:pPr>
        <w:numPr>
          <w:ilvl w:val="0"/>
          <w:numId w:val="1"/>
        </w:numPr>
        <w:tabs>
          <w:tab w:val="clear" w:pos="720"/>
          <w:tab w:val="num" w:pos="630"/>
        </w:tabs>
        <w:spacing w:line="278" w:lineRule="auto"/>
        <w:ind w:left="360" w:hanging="27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DIF analysis continues for Nebraska’s general assessment; the alternate assessment has too small a sample for reliable DIF, but pooling data across years may help.</w:t>
      </w:r>
    </w:p>
    <w:p w14:paraId="67878638" w14:textId="77777777" w:rsidR="000D27F3" w:rsidRPr="00052840" w:rsidRDefault="000D27F3" w:rsidP="008574DF">
      <w:pPr>
        <w:numPr>
          <w:ilvl w:val="0"/>
          <w:numId w:val="1"/>
        </w:numPr>
        <w:tabs>
          <w:tab w:val="clear" w:pos="720"/>
          <w:tab w:val="num" w:pos="630"/>
        </w:tabs>
        <w:spacing w:line="278" w:lineRule="auto"/>
        <w:ind w:left="360" w:hanging="270"/>
        <w:rPr>
          <w:sz w:val="22"/>
          <w:szCs w:val="22"/>
        </w:rPr>
      </w:pPr>
      <w:r w:rsidRPr="00052840">
        <w:rPr>
          <w:sz w:val="22"/>
          <w:szCs w:val="22"/>
        </w:rPr>
        <w:t>Gender and ethnicity are comparison groups; socioeconomic status (SES) comparison will be explored if data fields exist.</w:t>
      </w:r>
    </w:p>
    <w:p w14:paraId="55350E33" w14:textId="77777777" w:rsidR="000D27F3" w:rsidRPr="00052840" w:rsidRDefault="000D27F3" w:rsidP="008574DF">
      <w:pPr>
        <w:numPr>
          <w:ilvl w:val="0"/>
          <w:numId w:val="1"/>
        </w:numPr>
        <w:tabs>
          <w:tab w:val="clear" w:pos="720"/>
          <w:tab w:val="num" w:pos="630"/>
        </w:tabs>
        <w:spacing w:line="278" w:lineRule="auto"/>
        <w:ind w:left="360" w:hanging="270"/>
        <w:rPr>
          <w:sz w:val="22"/>
          <w:szCs w:val="22"/>
        </w:rPr>
      </w:pPr>
      <w:r w:rsidRPr="00052840">
        <w:rPr>
          <w:sz w:val="22"/>
          <w:szCs w:val="22"/>
        </w:rPr>
        <w:t>TAC recommends calculating DIF during field testing and again in the first operational year, not annually.</w:t>
      </w:r>
    </w:p>
    <w:p w14:paraId="6F6E9E08" w14:textId="77777777" w:rsidR="000D27F3" w:rsidRPr="00052840" w:rsidRDefault="000D27F3" w:rsidP="008574DF">
      <w:pPr>
        <w:numPr>
          <w:ilvl w:val="0"/>
          <w:numId w:val="1"/>
        </w:numPr>
        <w:tabs>
          <w:tab w:val="clear" w:pos="720"/>
          <w:tab w:val="num" w:pos="630"/>
        </w:tabs>
        <w:spacing w:line="278" w:lineRule="auto"/>
        <w:ind w:left="360" w:hanging="270"/>
        <w:rPr>
          <w:sz w:val="22"/>
          <w:szCs w:val="22"/>
        </w:rPr>
      </w:pPr>
      <w:r w:rsidRPr="00052840">
        <w:rPr>
          <w:sz w:val="22"/>
          <w:szCs w:val="22"/>
        </w:rPr>
        <w:t>C DIF items should be flagged or removed (possibly marked “DNU”); B DIF items may be left but noted for monitoring.</w:t>
      </w:r>
    </w:p>
    <w:p w14:paraId="01B17B24" w14:textId="77777777" w:rsidR="000D27F3" w:rsidRPr="00052840" w:rsidRDefault="000D27F3" w:rsidP="008574DF">
      <w:pPr>
        <w:numPr>
          <w:ilvl w:val="0"/>
          <w:numId w:val="1"/>
        </w:numPr>
        <w:tabs>
          <w:tab w:val="clear" w:pos="720"/>
          <w:tab w:val="num" w:pos="630"/>
        </w:tabs>
        <w:spacing w:after="160" w:line="278" w:lineRule="auto"/>
        <w:ind w:left="360" w:hanging="270"/>
        <w:rPr>
          <w:sz w:val="22"/>
          <w:szCs w:val="22"/>
        </w:rPr>
      </w:pPr>
      <w:r w:rsidRPr="00052840">
        <w:rPr>
          <w:sz w:val="22"/>
          <w:szCs w:val="22"/>
        </w:rPr>
        <w:t>Items showing systematic DIF patterns require targeted bank revisions.</w:t>
      </w:r>
    </w:p>
    <w:p w14:paraId="6813F582" w14:textId="5A6E497E" w:rsidR="000D27F3" w:rsidRPr="00052840" w:rsidRDefault="000D27F3" w:rsidP="0063325A">
      <w:pPr>
        <w:pStyle w:val="Heading3"/>
        <w:spacing w:after="0"/>
        <w:rPr>
          <w:sz w:val="22"/>
          <w:szCs w:val="22"/>
        </w:rPr>
      </w:pPr>
      <w:r w:rsidRPr="00052840">
        <w:rPr>
          <w:sz w:val="22"/>
          <w:szCs w:val="22"/>
        </w:rPr>
        <w:t>Action</w:t>
      </w:r>
      <w:r w:rsidR="00F627E8">
        <w:rPr>
          <w:sz w:val="22"/>
          <w:szCs w:val="22"/>
        </w:rPr>
        <w:t xml:space="preserve"> </w:t>
      </w:r>
      <w:r w:rsidRPr="00052840">
        <w:rPr>
          <w:sz w:val="22"/>
          <w:szCs w:val="22"/>
        </w:rPr>
        <w:t>– DIF</w:t>
      </w:r>
    </w:p>
    <w:p w14:paraId="312DBE6F" w14:textId="50FB3A29" w:rsidR="000D27F3" w:rsidRPr="00052840" w:rsidRDefault="000D27F3" w:rsidP="008574DF">
      <w:pPr>
        <w:numPr>
          <w:ilvl w:val="0"/>
          <w:numId w:val="2"/>
        </w:numPr>
        <w:tabs>
          <w:tab w:val="clear" w:pos="720"/>
          <w:tab w:val="num" w:pos="360"/>
        </w:tabs>
        <w:spacing w:line="278" w:lineRule="auto"/>
        <w:ind w:left="360" w:hanging="27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 xml:space="preserve">NWEA to </w:t>
      </w:r>
      <w:r w:rsidR="009909D8">
        <w:rPr>
          <w:rFonts w:eastAsia="Aptos" w:cs="Times New Roman"/>
          <w:kern w:val="2"/>
          <w:sz w:val="22"/>
          <w:szCs w:val="22"/>
          <w14:ligatures w14:val="standardContextual"/>
        </w:rPr>
        <w:t xml:space="preserve">confirm </w:t>
      </w:r>
      <w:r w:rsidR="003E5C3A">
        <w:rPr>
          <w:rFonts w:eastAsia="Aptos" w:cs="Times New Roman"/>
          <w:kern w:val="2"/>
          <w:sz w:val="22"/>
          <w:szCs w:val="22"/>
          <w14:ligatures w14:val="standardContextual"/>
        </w:rPr>
        <w:t>and conduct</w:t>
      </w:r>
      <w:r w:rsidR="000868E9">
        <w:rPr>
          <w:rFonts w:eastAsia="Aptos" w:cs="Times New Roman"/>
          <w:kern w:val="2"/>
          <w:sz w:val="22"/>
          <w:szCs w:val="22"/>
          <w14:ligatures w14:val="standardContextual"/>
        </w:rPr>
        <w:t xml:space="preserve"> DIF analyses using an SES indictor</w:t>
      </w:r>
      <w:r w:rsidR="003364BD">
        <w:rPr>
          <w:rFonts w:eastAsia="Aptos" w:cs="Times New Roman"/>
          <w:kern w:val="2"/>
          <w:sz w:val="22"/>
          <w:szCs w:val="22"/>
          <w14:ligatures w14:val="standardContextual"/>
        </w:rPr>
        <w:t xml:space="preserve">; </w:t>
      </w:r>
      <w:r w:rsidRPr="00052840">
        <w:rPr>
          <w:rFonts w:eastAsia="Aptos" w:cs="Times New Roman"/>
          <w:kern w:val="2"/>
          <w:sz w:val="22"/>
          <w:szCs w:val="22"/>
          <w14:ligatures w14:val="standardContextual"/>
        </w:rPr>
        <w:t xml:space="preserve">if SES/poverty indicators </w:t>
      </w:r>
      <w:r w:rsidR="003364BD">
        <w:rPr>
          <w:rFonts w:eastAsia="Aptos" w:cs="Times New Roman"/>
          <w:kern w:val="2"/>
          <w:sz w:val="22"/>
          <w:szCs w:val="22"/>
          <w14:ligatures w14:val="standardContextual"/>
        </w:rPr>
        <w:t>data unavailable</w:t>
      </w:r>
      <w:r w:rsidR="00BD2F97">
        <w:rPr>
          <w:rFonts w:eastAsia="Aptos" w:cs="Times New Roman"/>
          <w:kern w:val="2"/>
          <w:sz w:val="22"/>
          <w:szCs w:val="22"/>
          <w14:ligatures w14:val="standardContextual"/>
        </w:rPr>
        <w:t xml:space="preserve">, look for other indicators of SES that could be a proxy </w:t>
      </w:r>
      <w:r w:rsidRPr="00052840">
        <w:rPr>
          <w:rFonts w:eastAsia="Aptos" w:cs="Times New Roman"/>
          <w:kern w:val="2"/>
          <w:sz w:val="22"/>
          <w:szCs w:val="22"/>
          <w14:ligatures w14:val="standardContextual"/>
        </w:rPr>
        <w:t>in the data.</w:t>
      </w:r>
    </w:p>
    <w:p w14:paraId="42EF7593" w14:textId="77777777" w:rsidR="000D27F3" w:rsidRPr="00052840" w:rsidRDefault="000D27F3" w:rsidP="008574DF">
      <w:pPr>
        <w:numPr>
          <w:ilvl w:val="0"/>
          <w:numId w:val="2"/>
        </w:numPr>
        <w:tabs>
          <w:tab w:val="clear" w:pos="720"/>
          <w:tab w:val="num" w:pos="360"/>
        </w:tabs>
        <w:spacing w:line="278" w:lineRule="auto"/>
        <w:ind w:left="360" w:hanging="27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Pool alt-assessment data over multiple years to run limited DIF analyses (gender, major ethnic groups).</w:t>
      </w:r>
    </w:p>
    <w:p w14:paraId="777E6CA7" w14:textId="77777777" w:rsidR="000D27F3" w:rsidRPr="00052840" w:rsidRDefault="000D27F3" w:rsidP="008574DF">
      <w:pPr>
        <w:numPr>
          <w:ilvl w:val="0"/>
          <w:numId w:val="2"/>
        </w:numPr>
        <w:tabs>
          <w:tab w:val="clear" w:pos="720"/>
          <w:tab w:val="num" w:pos="360"/>
        </w:tabs>
        <w:spacing w:line="278" w:lineRule="auto"/>
        <w:ind w:left="360" w:hanging="27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Establish rule for marking/removing C DIF items and possibly flagging B DIF items.</w:t>
      </w:r>
    </w:p>
    <w:p w14:paraId="481B4438" w14:textId="77777777" w:rsidR="000D27F3" w:rsidRPr="00052840" w:rsidRDefault="000D27F3" w:rsidP="008574DF">
      <w:pPr>
        <w:numPr>
          <w:ilvl w:val="0"/>
          <w:numId w:val="2"/>
        </w:numPr>
        <w:tabs>
          <w:tab w:val="clear" w:pos="720"/>
          <w:tab w:val="num" w:pos="360"/>
        </w:tabs>
        <w:spacing w:line="278" w:lineRule="auto"/>
        <w:ind w:left="360" w:hanging="27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Review C DIF items in committee meetings; use examples for training.</w:t>
      </w:r>
    </w:p>
    <w:p w14:paraId="5914F46E" w14:textId="77777777" w:rsidR="000D27F3" w:rsidRDefault="000D27F3" w:rsidP="00052840">
      <w:pPr>
        <w:numPr>
          <w:ilvl w:val="0"/>
          <w:numId w:val="2"/>
        </w:numPr>
        <w:tabs>
          <w:tab w:val="clear" w:pos="720"/>
          <w:tab w:val="num" w:pos="360"/>
        </w:tabs>
        <w:spacing w:line="240" w:lineRule="auto"/>
        <w:ind w:left="360" w:hanging="274"/>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Develop standard operating procedure for DIF calibration and review cadence (field test and first year only).</w:t>
      </w:r>
    </w:p>
    <w:p w14:paraId="7D518204" w14:textId="77777777" w:rsidR="00052840" w:rsidRPr="00052840" w:rsidRDefault="00052840" w:rsidP="00052840">
      <w:pPr>
        <w:tabs>
          <w:tab w:val="num" w:pos="360"/>
        </w:tabs>
        <w:spacing w:line="240" w:lineRule="auto"/>
        <w:ind w:left="86"/>
        <w:rPr>
          <w:rFonts w:eastAsia="Aptos" w:cs="Times New Roman"/>
          <w:kern w:val="2"/>
          <w:sz w:val="22"/>
          <w:szCs w:val="22"/>
          <w14:ligatures w14:val="standardContextual"/>
        </w:rPr>
      </w:pPr>
    </w:p>
    <w:p w14:paraId="2F76F56B" w14:textId="3F540F33" w:rsidR="000D27F3" w:rsidRPr="00052840" w:rsidRDefault="000D27F3" w:rsidP="0063325A">
      <w:pPr>
        <w:pStyle w:val="Heading3"/>
        <w:spacing w:after="0"/>
        <w:rPr>
          <w:sz w:val="22"/>
          <w:szCs w:val="22"/>
        </w:rPr>
      </w:pPr>
      <w:r w:rsidRPr="00052840">
        <w:rPr>
          <w:sz w:val="22"/>
          <w:szCs w:val="22"/>
        </w:rPr>
        <w:t>Item Drift</w:t>
      </w:r>
      <w:r w:rsidR="00536597">
        <w:rPr>
          <w:sz w:val="22"/>
          <w:szCs w:val="22"/>
        </w:rPr>
        <w:t>/</w:t>
      </w:r>
      <w:r w:rsidRPr="00052840">
        <w:rPr>
          <w:sz w:val="22"/>
          <w:szCs w:val="22"/>
        </w:rPr>
        <w:t>Parameter Updates</w:t>
      </w:r>
    </w:p>
    <w:p w14:paraId="4E4CCD24" w14:textId="77777777" w:rsidR="000D27F3" w:rsidRPr="00052840" w:rsidRDefault="000D27F3" w:rsidP="008574DF">
      <w:pPr>
        <w:numPr>
          <w:ilvl w:val="0"/>
          <w:numId w:val="3"/>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Drift detected through D-squared method; most items became slightly easier.</w:t>
      </w:r>
    </w:p>
    <w:p w14:paraId="7366C148" w14:textId="77777777" w:rsidR="000D27F3" w:rsidRPr="00052840" w:rsidRDefault="000D27F3" w:rsidP="008574DF">
      <w:pPr>
        <w:numPr>
          <w:ilvl w:val="0"/>
          <w:numId w:val="3"/>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Challenge: adaptive testing restricts the student ability range, making parameter drift harder to interpret.</w:t>
      </w:r>
    </w:p>
    <w:p w14:paraId="4811D3E1" w14:textId="77777777" w:rsidR="000D27F3" w:rsidRPr="00052840" w:rsidRDefault="000D27F3" w:rsidP="008574DF">
      <w:pPr>
        <w:numPr>
          <w:ilvl w:val="0"/>
          <w:numId w:val="3"/>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Representative samples are needed for valid recalibration.</w:t>
      </w:r>
    </w:p>
    <w:p w14:paraId="6EFA27CA" w14:textId="77777777" w:rsidR="000D27F3" w:rsidRPr="00052840" w:rsidRDefault="000D27F3" w:rsidP="008574DF">
      <w:pPr>
        <w:numPr>
          <w:ilvl w:val="0"/>
          <w:numId w:val="3"/>
        </w:numPr>
        <w:tabs>
          <w:tab w:val="clear" w:pos="720"/>
          <w:tab w:val="num" w:pos="360"/>
        </w:tabs>
        <w:spacing w:after="120"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suggests re-field testing a subset of drifted items over several years to verify drift causes.</w:t>
      </w:r>
    </w:p>
    <w:p w14:paraId="51D9D700" w14:textId="77777777" w:rsidR="00052840" w:rsidRDefault="00052840" w:rsidP="0063325A">
      <w:pPr>
        <w:pStyle w:val="Heading3"/>
        <w:spacing w:after="0"/>
        <w:rPr>
          <w:sz w:val="22"/>
          <w:szCs w:val="22"/>
        </w:rPr>
      </w:pPr>
    </w:p>
    <w:p w14:paraId="5C8B0464" w14:textId="79767E57" w:rsidR="000D27F3" w:rsidRPr="00052840" w:rsidRDefault="000D27F3" w:rsidP="0063325A">
      <w:pPr>
        <w:pStyle w:val="Heading3"/>
        <w:spacing w:after="0"/>
        <w:rPr>
          <w:sz w:val="22"/>
          <w:szCs w:val="22"/>
        </w:rPr>
      </w:pPr>
      <w:r w:rsidRPr="00052840">
        <w:rPr>
          <w:sz w:val="22"/>
          <w:szCs w:val="22"/>
        </w:rPr>
        <w:t>Action Points – Item Drift and Parameter Updates</w:t>
      </w:r>
    </w:p>
    <w:p w14:paraId="5546D49F" w14:textId="77777777" w:rsidR="000D27F3" w:rsidRPr="00052840" w:rsidRDefault="000D27F3" w:rsidP="008574DF">
      <w:pPr>
        <w:numPr>
          <w:ilvl w:val="0"/>
          <w:numId w:val="4"/>
        </w:numPr>
        <w:tabs>
          <w:tab w:val="clear" w:pos="720"/>
          <w:tab w:val="num" w:pos="45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Re-field test ~10 drifted items per grade per year for 3 years to evaluate true parameter drift.</w:t>
      </w:r>
    </w:p>
    <w:p w14:paraId="1957B101" w14:textId="77777777" w:rsidR="000D27F3" w:rsidRPr="00052840" w:rsidRDefault="000D27F3" w:rsidP="008574DF">
      <w:pPr>
        <w:numPr>
          <w:ilvl w:val="0"/>
          <w:numId w:val="4"/>
        </w:numPr>
        <w:tabs>
          <w:tab w:val="clear" w:pos="720"/>
          <w:tab w:val="num" w:pos="45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Conduct research comparing recalibration results to determine if drift is algorithmic or genuine.</w:t>
      </w:r>
    </w:p>
    <w:p w14:paraId="0B8061AB" w14:textId="5D6125CD" w:rsidR="000D27F3" w:rsidRPr="00052840" w:rsidRDefault="000D27F3" w:rsidP="008574DF">
      <w:pPr>
        <w:numPr>
          <w:ilvl w:val="0"/>
          <w:numId w:val="4"/>
        </w:numPr>
        <w:tabs>
          <w:tab w:val="clear" w:pos="720"/>
          <w:tab w:val="num" w:pos="450"/>
        </w:tabs>
        <w:spacing w:after="480"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Update item bank only after representative recalibration results confirm stability.</w:t>
      </w:r>
    </w:p>
    <w:p w14:paraId="4B1963F2" w14:textId="16D7DE90" w:rsidR="000D27F3" w:rsidRPr="00052840" w:rsidRDefault="000D27F3" w:rsidP="0063325A">
      <w:pPr>
        <w:pStyle w:val="Heading3"/>
        <w:spacing w:after="0"/>
        <w:rPr>
          <w:sz w:val="22"/>
          <w:szCs w:val="22"/>
        </w:rPr>
      </w:pPr>
      <w:r w:rsidRPr="00052840">
        <w:rPr>
          <w:sz w:val="22"/>
          <w:szCs w:val="22"/>
        </w:rPr>
        <w:t>Field Testing Passage Items</w:t>
      </w:r>
    </w:p>
    <w:p w14:paraId="75228A9C" w14:textId="77777777" w:rsidR="000D27F3" w:rsidRPr="00052840" w:rsidRDefault="000D27F3" w:rsidP="008574DF">
      <w:pPr>
        <w:numPr>
          <w:ilvl w:val="0"/>
          <w:numId w:val="5"/>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NWEA proposed two options for paired passage field test constraints:</w:t>
      </w:r>
    </w:p>
    <w:p w14:paraId="492C7BD5" w14:textId="77777777" w:rsidR="000D27F3" w:rsidRPr="00052840" w:rsidRDefault="000D27F3" w:rsidP="008574DF">
      <w:pPr>
        <w:numPr>
          <w:ilvl w:val="1"/>
          <w:numId w:val="5"/>
        </w:numPr>
        <w:tabs>
          <w:tab w:val="clear" w:pos="1440"/>
          <w:tab w:val="num" w:pos="360"/>
          <w:tab w:val="num" w:pos="720"/>
        </w:tabs>
        <w:spacing w:line="278" w:lineRule="auto"/>
        <w:ind w:left="360" w:firstLine="0"/>
        <w:rPr>
          <w:rFonts w:eastAsia="Aptos" w:cs="Times New Roman"/>
          <w:kern w:val="2"/>
          <w:sz w:val="22"/>
          <w:szCs w:val="22"/>
          <w14:ligatures w14:val="standardContextual"/>
        </w:rPr>
      </w:pPr>
      <w:r w:rsidRPr="00052840">
        <w:rPr>
          <w:rFonts w:eastAsia="Aptos" w:cs="Times New Roman"/>
          <w:i/>
          <w:iCs/>
          <w:kern w:val="2"/>
          <w:sz w:val="22"/>
          <w:szCs w:val="22"/>
          <w14:ligatures w14:val="standardContextual"/>
        </w:rPr>
        <w:t>Option 1:</w:t>
      </w:r>
      <w:r w:rsidRPr="00052840">
        <w:rPr>
          <w:rFonts w:eastAsia="Aptos" w:cs="Times New Roman"/>
          <w:kern w:val="2"/>
          <w:sz w:val="22"/>
          <w:szCs w:val="22"/>
          <w14:ligatures w14:val="standardContextual"/>
        </w:rPr>
        <w:t> Reduce minimum item constraint from six to five.</w:t>
      </w:r>
    </w:p>
    <w:p w14:paraId="4A976947" w14:textId="77777777" w:rsidR="000D27F3" w:rsidRPr="00052840" w:rsidRDefault="000D27F3" w:rsidP="008574DF">
      <w:pPr>
        <w:numPr>
          <w:ilvl w:val="1"/>
          <w:numId w:val="5"/>
        </w:numPr>
        <w:tabs>
          <w:tab w:val="clear" w:pos="1440"/>
          <w:tab w:val="num" w:pos="360"/>
          <w:tab w:val="num" w:pos="720"/>
        </w:tabs>
        <w:spacing w:line="278" w:lineRule="auto"/>
        <w:ind w:left="360" w:firstLine="0"/>
        <w:rPr>
          <w:rFonts w:eastAsia="Aptos" w:cs="Times New Roman"/>
          <w:kern w:val="2"/>
          <w:sz w:val="22"/>
          <w:szCs w:val="22"/>
          <w14:ligatures w14:val="standardContextual"/>
        </w:rPr>
      </w:pPr>
      <w:r w:rsidRPr="00052840">
        <w:rPr>
          <w:rFonts w:eastAsia="Aptos" w:cs="Times New Roman"/>
          <w:i/>
          <w:iCs/>
          <w:kern w:val="2"/>
          <w:sz w:val="22"/>
          <w:szCs w:val="22"/>
          <w14:ligatures w14:val="standardContextual"/>
        </w:rPr>
        <w:t>Option 2:</w:t>
      </w:r>
      <w:r w:rsidRPr="00052840">
        <w:rPr>
          <w:rFonts w:eastAsia="Aptos" w:cs="Times New Roman"/>
          <w:kern w:val="2"/>
          <w:sz w:val="22"/>
          <w:szCs w:val="22"/>
          <w14:ligatures w14:val="standardContextual"/>
        </w:rPr>
        <w:t> Mix operational and field test items.</w:t>
      </w:r>
    </w:p>
    <w:p w14:paraId="16EDF20F" w14:textId="1D3E9157" w:rsidR="000D27F3" w:rsidRPr="00052840" w:rsidRDefault="000D27F3" w:rsidP="008574DF">
      <w:pPr>
        <w:pStyle w:val="ListParagraph"/>
        <w:numPr>
          <w:ilvl w:val="0"/>
          <w:numId w:val="5"/>
        </w:numPr>
        <w:tabs>
          <w:tab w:val="clear" w:pos="720"/>
          <w:tab w:val="num" w:pos="360"/>
        </w:tabs>
        <w:spacing w:after="120"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consensus favored </w:t>
      </w:r>
      <w:r w:rsidRPr="00052840">
        <w:rPr>
          <w:rFonts w:eastAsia="Aptos" w:cs="Times New Roman"/>
          <w:b/>
          <w:bCs/>
          <w:kern w:val="2"/>
          <w:sz w:val="22"/>
          <w:szCs w:val="22"/>
          <w14:ligatures w14:val="standardContextual"/>
        </w:rPr>
        <w:t>Option 1</w:t>
      </w:r>
      <w:r w:rsidRPr="00052840">
        <w:rPr>
          <w:rFonts w:eastAsia="Aptos" w:cs="Times New Roman"/>
          <w:kern w:val="2"/>
          <w:sz w:val="22"/>
          <w:szCs w:val="22"/>
          <w14:ligatures w14:val="standardContextual"/>
        </w:rPr>
        <w:t> (reduce minimum to five) as feasible and supported by existing item development.</w:t>
      </w:r>
    </w:p>
    <w:p w14:paraId="1715DB64" w14:textId="596C9793" w:rsidR="000D27F3" w:rsidRPr="00052840" w:rsidRDefault="000D27F3" w:rsidP="0063325A">
      <w:pPr>
        <w:pStyle w:val="Heading3"/>
        <w:spacing w:after="0"/>
        <w:rPr>
          <w:sz w:val="22"/>
          <w:szCs w:val="22"/>
        </w:rPr>
      </w:pPr>
      <w:r w:rsidRPr="00052840">
        <w:rPr>
          <w:sz w:val="22"/>
          <w:szCs w:val="22"/>
        </w:rPr>
        <w:t>Action</w:t>
      </w:r>
      <w:r w:rsidR="00F627E8">
        <w:rPr>
          <w:sz w:val="22"/>
          <w:szCs w:val="22"/>
        </w:rPr>
        <w:t xml:space="preserve"> </w:t>
      </w:r>
      <w:r w:rsidRPr="00052840">
        <w:rPr>
          <w:sz w:val="22"/>
          <w:szCs w:val="22"/>
        </w:rPr>
        <w:t>– Item Drift and Parameters</w:t>
      </w:r>
    </w:p>
    <w:p w14:paraId="39F8FFF6" w14:textId="77777777" w:rsidR="000D27F3" w:rsidRPr="00052840" w:rsidRDefault="000D27F3" w:rsidP="008574DF">
      <w:pPr>
        <w:numPr>
          <w:ilvl w:val="0"/>
          <w:numId w:val="6"/>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Ensure adequate item coverage with five-item sets.</w:t>
      </w:r>
    </w:p>
    <w:p w14:paraId="20804D52" w14:textId="77777777" w:rsidR="000D27F3" w:rsidRPr="00052840" w:rsidRDefault="000D27F3" w:rsidP="008574DF">
      <w:pPr>
        <w:numPr>
          <w:ilvl w:val="0"/>
          <w:numId w:val="6"/>
        </w:numPr>
        <w:tabs>
          <w:tab w:val="clear" w:pos="720"/>
          <w:tab w:val="num" w:pos="360"/>
        </w:tabs>
        <w:spacing w:after="480"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Monitor outcomes and adjust if field test representation issues arise.</w:t>
      </w:r>
    </w:p>
    <w:p w14:paraId="28D4A3B2" w14:textId="7281F547" w:rsidR="0063325A" w:rsidRPr="00052840" w:rsidRDefault="0063325A" w:rsidP="0063325A">
      <w:pPr>
        <w:pStyle w:val="Heading3"/>
        <w:spacing w:after="0"/>
        <w:rPr>
          <w:sz w:val="22"/>
          <w:szCs w:val="22"/>
        </w:rPr>
      </w:pPr>
      <w:r w:rsidRPr="00052840">
        <w:rPr>
          <w:sz w:val="22"/>
          <w:szCs w:val="22"/>
        </w:rPr>
        <w:t>Item Release Plan</w:t>
      </w:r>
    </w:p>
    <w:p w14:paraId="5813FF62" w14:textId="77777777" w:rsidR="0063325A" w:rsidRPr="00052840" w:rsidRDefault="0063325A" w:rsidP="008574DF">
      <w:pPr>
        <w:numPr>
          <w:ilvl w:val="0"/>
          <w:numId w:val="7"/>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Goal: Improve transparency and educator trust without compromising pool integrity.</w:t>
      </w:r>
    </w:p>
    <w:p w14:paraId="7BEACAE4" w14:textId="77777777" w:rsidR="00052840" w:rsidRPr="00052840" w:rsidRDefault="00052840" w:rsidP="00052840">
      <w:pPr>
        <w:tabs>
          <w:tab w:val="num" w:pos="360"/>
        </w:tabs>
        <w:spacing w:line="240" w:lineRule="auto"/>
        <w:rPr>
          <w:rFonts w:eastAsia="Aptos" w:cs="Times New Roman"/>
          <w:kern w:val="2"/>
          <w:sz w:val="22"/>
          <w:szCs w:val="22"/>
          <w14:ligatures w14:val="standardContextual"/>
        </w:rPr>
      </w:pPr>
    </w:p>
    <w:p w14:paraId="1A64DB52" w14:textId="327A5EF1" w:rsidR="0063325A" w:rsidRPr="00052840" w:rsidRDefault="0063325A" w:rsidP="0063325A">
      <w:pPr>
        <w:pStyle w:val="Heading3"/>
        <w:spacing w:after="0"/>
        <w:rPr>
          <w:sz w:val="22"/>
          <w:szCs w:val="22"/>
        </w:rPr>
      </w:pPr>
      <w:r w:rsidRPr="00052840">
        <w:rPr>
          <w:sz w:val="22"/>
          <w:szCs w:val="22"/>
        </w:rPr>
        <w:t>Action</w:t>
      </w:r>
      <w:r w:rsidR="00F627E8">
        <w:rPr>
          <w:sz w:val="22"/>
          <w:szCs w:val="22"/>
        </w:rPr>
        <w:t xml:space="preserve"> </w:t>
      </w:r>
      <w:r w:rsidRPr="00052840">
        <w:rPr>
          <w:sz w:val="22"/>
          <w:szCs w:val="22"/>
        </w:rPr>
        <w:t>– Item Release Plan</w:t>
      </w:r>
    </w:p>
    <w:p w14:paraId="5DF42C88" w14:textId="77777777" w:rsidR="00F627E8" w:rsidRDefault="0063325A" w:rsidP="00F627E8">
      <w:pPr>
        <w:numPr>
          <w:ilvl w:val="0"/>
          <w:numId w:val="7"/>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Develop a one-page interpretive guide summarizing proficiency expectations linked to released items.</w:t>
      </w:r>
      <w:r w:rsidR="00F627E8" w:rsidRPr="00F627E8">
        <w:rPr>
          <w:rFonts w:eastAsia="Aptos" w:cs="Times New Roman"/>
          <w:kern w:val="2"/>
          <w:sz w:val="22"/>
          <w:szCs w:val="22"/>
          <w14:ligatures w14:val="standardContextual"/>
        </w:rPr>
        <w:t xml:space="preserve"> </w:t>
      </w:r>
    </w:p>
    <w:p w14:paraId="56D83C9F" w14:textId="29C1D81D" w:rsidR="0063325A" w:rsidRPr="00F627E8" w:rsidRDefault="00F627E8" w:rsidP="00F627E8">
      <w:pPr>
        <w:numPr>
          <w:ilvl w:val="0"/>
          <w:numId w:val="7"/>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recommends including estimated item difficulty (probability of correct response) tied to proficiency cut scores.</w:t>
      </w:r>
    </w:p>
    <w:p w14:paraId="409A72DC" w14:textId="77777777" w:rsidR="0063325A" w:rsidRPr="00052840" w:rsidRDefault="0063325A" w:rsidP="008574DF">
      <w:pPr>
        <w:numPr>
          <w:ilvl w:val="0"/>
          <w:numId w:val="8"/>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Review NAEP’s approach for narrative item interpretation examples.</w:t>
      </w:r>
    </w:p>
    <w:p w14:paraId="00352643" w14:textId="77777777" w:rsidR="0063325A" w:rsidRPr="00052840" w:rsidRDefault="0063325A" w:rsidP="008574DF">
      <w:pPr>
        <w:numPr>
          <w:ilvl w:val="0"/>
          <w:numId w:val="8"/>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Include estimated p-values or achievement-level performance data with released items.</w:t>
      </w:r>
    </w:p>
    <w:p w14:paraId="12097EA2" w14:textId="77777777" w:rsidR="0063325A" w:rsidRPr="00052840" w:rsidRDefault="0063325A" w:rsidP="008574DF">
      <w:pPr>
        <w:numPr>
          <w:ilvl w:val="0"/>
          <w:numId w:val="8"/>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Clarify communication plan (purpose, audience, and difference from practice tests).</w:t>
      </w:r>
    </w:p>
    <w:p w14:paraId="042C70C7" w14:textId="77777777" w:rsidR="00F627E8" w:rsidRDefault="0063325A" w:rsidP="00F627E8">
      <w:pPr>
        <w:numPr>
          <w:ilvl w:val="0"/>
          <w:numId w:val="8"/>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Explore incorporating released items into interactive online formats, including technology-enhanced examples.</w:t>
      </w:r>
    </w:p>
    <w:p w14:paraId="06243398" w14:textId="17D93E01" w:rsidR="00F627E8" w:rsidRPr="00F627E8" w:rsidRDefault="00F627E8" w:rsidP="00F627E8">
      <w:pPr>
        <w:numPr>
          <w:ilvl w:val="0"/>
          <w:numId w:val="8"/>
        </w:numPr>
        <w:tabs>
          <w:tab w:val="clear" w:pos="720"/>
          <w:tab w:val="num" w:pos="360"/>
        </w:tabs>
        <w:spacing w:line="278" w:lineRule="auto"/>
        <w:ind w:left="360"/>
        <w:rPr>
          <w:rFonts w:eastAsia="Aptos" w:cs="Times New Roman"/>
          <w:kern w:val="2"/>
          <w:sz w:val="22"/>
          <w:szCs w:val="22"/>
          <w14:ligatures w14:val="standardContextual"/>
        </w:rPr>
      </w:pPr>
      <w:r w:rsidRPr="00F627E8">
        <w:rPr>
          <w:rFonts w:eastAsia="Aptos" w:cs="Times New Roman"/>
          <w:kern w:val="2"/>
          <w:sz w:val="22"/>
          <w:szCs w:val="22"/>
          <w14:ligatures w14:val="standardContextual"/>
        </w:rPr>
        <w:t>Descriptive data, achievement level descriptors, and interpretive guides should accompany released items.</w:t>
      </w:r>
    </w:p>
    <w:p w14:paraId="2A55C501" w14:textId="77777777" w:rsidR="00F627E8" w:rsidRDefault="0063325A" w:rsidP="00F627E8">
      <w:pPr>
        <w:numPr>
          <w:ilvl w:val="0"/>
          <w:numId w:val="8"/>
        </w:numPr>
        <w:tabs>
          <w:tab w:val="clear" w:pos="720"/>
          <w:tab w:val="num" w:pos="360"/>
        </w:tabs>
        <w:spacing w:line="240"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Address teacher feedback about practice test usability and restore ability to project and discuss items in class</w:t>
      </w:r>
    </w:p>
    <w:p w14:paraId="6FFA9103" w14:textId="401615F9" w:rsidR="00F627E8" w:rsidRPr="00F627E8" w:rsidRDefault="00F627E8" w:rsidP="00F627E8">
      <w:pPr>
        <w:numPr>
          <w:ilvl w:val="0"/>
          <w:numId w:val="8"/>
        </w:numPr>
        <w:tabs>
          <w:tab w:val="clear" w:pos="720"/>
          <w:tab w:val="num" w:pos="360"/>
        </w:tabs>
        <w:spacing w:line="240" w:lineRule="auto"/>
        <w:ind w:left="360"/>
        <w:rPr>
          <w:rFonts w:eastAsia="Aptos" w:cs="Times New Roman"/>
          <w:kern w:val="2"/>
          <w:sz w:val="22"/>
          <w:szCs w:val="22"/>
          <w14:ligatures w14:val="standardContextual"/>
        </w:rPr>
      </w:pPr>
      <w:r w:rsidRPr="00F627E8">
        <w:rPr>
          <w:rFonts w:eastAsia="Aptos" w:cs="Times New Roman"/>
          <w:kern w:val="2"/>
          <w:sz w:val="22"/>
          <w:szCs w:val="22"/>
          <w14:ligatures w14:val="standardContextual"/>
        </w:rPr>
        <w:t>Ensure parent accessibility and clear use-purpose messaging.</w:t>
      </w:r>
    </w:p>
    <w:p w14:paraId="140070F8" w14:textId="77777777" w:rsidR="00F627E8" w:rsidRDefault="00F627E8" w:rsidP="00F627E8">
      <w:pPr>
        <w:tabs>
          <w:tab w:val="num" w:pos="360"/>
        </w:tabs>
        <w:spacing w:after="240" w:line="278" w:lineRule="auto"/>
        <w:ind w:left="360"/>
        <w:rPr>
          <w:rFonts w:eastAsia="Aptos" w:cs="Times New Roman"/>
          <w:kern w:val="2"/>
          <w:sz w:val="22"/>
          <w:szCs w:val="22"/>
          <w14:ligatures w14:val="standardContextual"/>
        </w:rPr>
      </w:pPr>
    </w:p>
    <w:p w14:paraId="36B791D0" w14:textId="5A39DBD5" w:rsidR="00445041" w:rsidRPr="00052840" w:rsidRDefault="003F5B05" w:rsidP="00445041">
      <w:pPr>
        <w:pStyle w:val="Heading2"/>
        <w:spacing w:after="120"/>
        <w:rPr>
          <w:sz w:val="22"/>
          <w:szCs w:val="22"/>
        </w:rPr>
      </w:pPr>
      <w:bookmarkStart w:id="0" w:name="_Hlk221280057"/>
      <w:r w:rsidRPr="00052840">
        <w:rPr>
          <w:sz w:val="22"/>
          <w:szCs w:val="22"/>
        </w:rPr>
        <w:t>11:00 a.m. Derek Ippensen Accountability Update</w:t>
      </w:r>
    </w:p>
    <w:bookmarkEnd w:id="0"/>
    <w:p w14:paraId="4EB4E029" w14:textId="77777777" w:rsidR="00445041" w:rsidRPr="00052840" w:rsidRDefault="00445041" w:rsidP="008574DF">
      <w:pPr>
        <w:numPr>
          <w:ilvl w:val="0"/>
          <w:numId w:val="10"/>
        </w:numPr>
        <w:tabs>
          <w:tab w:val="clear" w:pos="720"/>
          <w:tab w:val="num" w:pos="360"/>
        </w:tabs>
        <w:spacing w:after="100" w:afterAutospacing="1"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 xml:space="preserve">Nebraska is moving from the legacy </w:t>
      </w:r>
      <w:proofErr w:type="spellStart"/>
      <w:r w:rsidRPr="00052840">
        <w:rPr>
          <w:rFonts w:eastAsia="Aptos" w:cs="Times New Roman"/>
          <w:kern w:val="2"/>
          <w:sz w:val="22"/>
          <w:szCs w:val="22"/>
          <w14:ligatures w14:val="standardContextual"/>
        </w:rPr>
        <w:t>AQuESTT</w:t>
      </w:r>
      <w:proofErr w:type="spellEnd"/>
      <w:r w:rsidRPr="00052840">
        <w:rPr>
          <w:rFonts w:eastAsia="Aptos" w:cs="Times New Roman"/>
          <w:kern w:val="2"/>
          <w:sz w:val="22"/>
          <w:szCs w:val="22"/>
          <w14:ligatures w14:val="standardContextual"/>
        </w:rPr>
        <w:t xml:space="preserve"> system to a next-iteration accountability model using multiple indicators (status, growth, improvement, science, graduation, CCR, etc.), each classified independently.</w:t>
      </w:r>
    </w:p>
    <w:p w14:paraId="0C0866C1" w14:textId="77777777" w:rsidR="00445041" w:rsidRPr="00052840" w:rsidRDefault="00445041" w:rsidP="00F627E8">
      <w:pPr>
        <w:numPr>
          <w:ilvl w:val="0"/>
          <w:numId w:val="10"/>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lastRenderedPageBreak/>
        <w:t>Status now counts about 30% at elementary/middle, with the remaining weight spread across growth and improvement; at high school, status must be combined with graduation and postsecondary readiness to reach that level of influence.</w:t>
      </w:r>
    </w:p>
    <w:p w14:paraId="395AB622" w14:textId="77777777" w:rsidR="00445041" w:rsidRPr="00052840" w:rsidRDefault="00445041" w:rsidP="00F627E8">
      <w:pPr>
        <w:numPr>
          <w:ilvl w:val="0"/>
          <w:numId w:val="10"/>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Science proficiency is treated as its own indicator; weights at elementary/middle are roughly: science 14%, ELA 15%, math 15%, so science is similar but slightly lower than each ELA/math status when disaggregated.</w:t>
      </w:r>
    </w:p>
    <w:p w14:paraId="07D5C7C3" w14:textId="77777777" w:rsidR="00F627E8" w:rsidRDefault="00445041" w:rsidP="00F627E8">
      <w:pPr>
        <w:numPr>
          <w:ilvl w:val="0"/>
          <w:numId w:val="10"/>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The four classifications (Excellent, Great, Good, Needs Support to Improve) remain, which helps continuity but makes communication harder when schools move classifications under the new rules using essentially the same data.</w:t>
      </w:r>
    </w:p>
    <w:p w14:paraId="18B06B85" w14:textId="1D98BEA0" w:rsidR="00445041" w:rsidRPr="00F627E8" w:rsidRDefault="00445041" w:rsidP="00F627E8">
      <w:pPr>
        <w:numPr>
          <w:ilvl w:val="0"/>
          <w:numId w:val="10"/>
        </w:numPr>
        <w:tabs>
          <w:tab w:val="clear" w:pos="720"/>
          <w:tab w:val="num" w:pos="360"/>
        </w:tabs>
        <w:spacing w:line="278" w:lineRule="auto"/>
        <w:ind w:left="360"/>
        <w:rPr>
          <w:rFonts w:eastAsia="Aptos" w:cs="Times New Roman"/>
          <w:kern w:val="2"/>
          <w:sz w:val="22"/>
          <w:szCs w:val="22"/>
          <w14:ligatures w14:val="standardContextual"/>
        </w:rPr>
      </w:pPr>
      <w:r w:rsidRPr="00F627E8">
        <w:rPr>
          <w:sz w:val="22"/>
          <w:szCs w:val="22"/>
        </w:rPr>
        <w:t>NDE will implement the new system for 2025–26 data, with classifications issued in November 2026; no ESSA plan amendment is planned before that cycle.</w:t>
      </w:r>
    </w:p>
    <w:p w14:paraId="035256AD" w14:textId="77777777" w:rsidR="00F627E8" w:rsidRDefault="00445041" w:rsidP="00F627E8">
      <w:pPr>
        <w:numPr>
          <w:ilvl w:val="0"/>
          <w:numId w:val="11"/>
        </w:numPr>
        <w:tabs>
          <w:tab w:val="clear" w:pos="720"/>
          <w:tab w:val="num" w:pos="360"/>
        </w:tabs>
        <w:spacing w:line="278" w:lineRule="auto"/>
        <w:ind w:left="360"/>
        <w:rPr>
          <w:sz w:val="22"/>
          <w:szCs w:val="22"/>
        </w:rPr>
      </w:pPr>
      <w:r w:rsidRPr="00052840">
        <w:rPr>
          <w:sz w:val="22"/>
          <w:szCs w:val="22"/>
        </w:rPr>
        <w:t xml:space="preserve">NDE will prepare and share detailed reports with districts and hold office hours to walk schools through why ratings changed (especially </w:t>
      </w:r>
      <w:proofErr w:type="spellStart"/>
      <w:r w:rsidRPr="00052840">
        <w:rPr>
          <w:sz w:val="22"/>
          <w:szCs w:val="22"/>
        </w:rPr>
        <w:t>Excellent→Great</w:t>
      </w:r>
      <w:proofErr w:type="spellEnd"/>
      <w:r w:rsidRPr="00052840">
        <w:rPr>
          <w:sz w:val="22"/>
          <w:szCs w:val="22"/>
        </w:rPr>
        <w:t>/Good).</w:t>
      </w:r>
    </w:p>
    <w:p w14:paraId="506E03C5" w14:textId="253F2A9C" w:rsidR="00445041" w:rsidRPr="00F627E8" w:rsidRDefault="00445041" w:rsidP="00F627E8">
      <w:pPr>
        <w:numPr>
          <w:ilvl w:val="0"/>
          <w:numId w:val="11"/>
        </w:numPr>
        <w:tabs>
          <w:tab w:val="clear" w:pos="720"/>
          <w:tab w:val="num" w:pos="360"/>
        </w:tabs>
        <w:spacing w:line="278" w:lineRule="auto"/>
        <w:ind w:left="360"/>
        <w:rPr>
          <w:sz w:val="22"/>
          <w:szCs w:val="22"/>
        </w:rPr>
      </w:pPr>
      <w:r w:rsidRPr="00F627E8">
        <w:rPr>
          <w:sz w:val="22"/>
          <w:szCs w:val="22"/>
        </w:rPr>
        <w:t>Science proficiency has historically been weighted differently and tends to show higher performance than ELA and math</w:t>
      </w:r>
    </w:p>
    <w:p w14:paraId="2793877E" w14:textId="256EC84E" w:rsidR="00445041" w:rsidRPr="00052840" w:rsidRDefault="00445041" w:rsidP="00F627E8">
      <w:pPr>
        <w:numPr>
          <w:ilvl w:val="0"/>
          <w:numId w:val="12"/>
        </w:numPr>
        <w:tabs>
          <w:tab w:val="clear" w:pos="720"/>
          <w:tab w:val="num" w:pos="360"/>
        </w:tabs>
        <w:spacing w:line="278" w:lineRule="auto"/>
        <w:ind w:left="360"/>
        <w:rPr>
          <w:sz w:val="22"/>
          <w:szCs w:val="22"/>
        </w:rPr>
      </w:pPr>
      <w:r w:rsidRPr="00052840">
        <w:rPr>
          <w:sz w:val="22"/>
          <w:szCs w:val="22"/>
        </w:rPr>
        <w:t xml:space="preserve">TAC </w:t>
      </w:r>
      <w:r w:rsidR="00806CA7">
        <w:rPr>
          <w:sz w:val="22"/>
          <w:szCs w:val="22"/>
        </w:rPr>
        <w:t>shared</w:t>
      </w:r>
      <w:r w:rsidRPr="00052840">
        <w:rPr>
          <w:sz w:val="22"/>
          <w:szCs w:val="22"/>
        </w:rPr>
        <w:t xml:space="preserve"> concern</w:t>
      </w:r>
      <w:r w:rsidR="00806CA7">
        <w:rPr>
          <w:sz w:val="22"/>
          <w:szCs w:val="22"/>
        </w:rPr>
        <w:t>s</w:t>
      </w:r>
      <w:r w:rsidRPr="00052840">
        <w:rPr>
          <w:sz w:val="22"/>
          <w:szCs w:val="22"/>
        </w:rPr>
        <w:t xml:space="preserve"> about face validity: examples include elementary schools with ~4% proficiency classified as “Good” and schools with ~60% proficiency classified as “Needs Support,” which could undermine credibility.</w:t>
      </w:r>
    </w:p>
    <w:p w14:paraId="61C1A7F7" w14:textId="77777777" w:rsidR="00445041" w:rsidRPr="00052840" w:rsidRDefault="00445041" w:rsidP="00F627E8">
      <w:pPr>
        <w:numPr>
          <w:ilvl w:val="0"/>
          <w:numId w:val="12"/>
        </w:numPr>
        <w:tabs>
          <w:tab w:val="clear" w:pos="720"/>
          <w:tab w:val="num" w:pos="360"/>
        </w:tabs>
        <w:spacing w:line="278" w:lineRule="auto"/>
        <w:ind w:left="360"/>
        <w:rPr>
          <w:sz w:val="22"/>
          <w:szCs w:val="22"/>
        </w:rPr>
      </w:pPr>
      <w:r w:rsidRPr="00052840">
        <w:rPr>
          <w:sz w:val="22"/>
          <w:szCs w:val="22"/>
        </w:rPr>
        <w:t>TAC questions whether science thresholds and expectations may be disproportionate to ELA/math, given reading/math are needed to access science content.</w:t>
      </w:r>
    </w:p>
    <w:p w14:paraId="5D559B9A" w14:textId="7877D506" w:rsidR="00445041" w:rsidRPr="00052840" w:rsidRDefault="00445041" w:rsidP="00F627E8">
      <w:pPr>
        <w:numPr>
          <w:ilvl w:val="0"/>
          <w:numId w:val="12"/>
        </w:numPr>
        <w:tabs>
          <w:tab w:val="clear" w:pos="720"/>
          <w:tab w:val="num" w:pos="360"/>
        </w:tabs>
        <w:spacing w:line="278" w:lineRule="auto"/>
        <w:ind w:left="360"/>
        <w:rPr>
          <w:sz w:val="22"/>
          <w:szCs w:val="22"/>
        </w:rPr>
      </w:pPr>
      <w:r w:rsidRPr="00052840">
        <w:rPr>
          <w:sz w:val="22"/>
          <w:szCs w:val="22"/>
        </w:rPr>
        <w:t xml:space="preserve">TAC </w:t>
      </w:r>
      <w:proofErr w:type="gramStart"/>
      <w:r w:rsidRPr="00052840">
        <w:rPr>
          <w:sz w:val="22"/>
          <w:szCs w:val="22"/>
        </w:rPr>
        <w:t>recommends</w:t>
      </w:r>
      <w:proofErr w:type="gramEnd"/>
      <w:r w:rsidRPr="00052840">
        <w:rPr>
          <w:sz w:val="22"/>
          <w:szCs w:val="22"/>
        </w:rPr>
        <w:t>:</w:t>
      </w:r>
    </w:p>
    <w:p w14:paraId="383F39DD" w14:textId="77777777" w:rsidR="00445041" w:rsidRPr="00052840" w:rsidRDefault="00445041" w:rsidP="00F627E8">
      <w:pPr>
        <w:numPr>
          <w:ilvl w:val="1"/>
          <w:numId w:val="12"/>
        </w:numPr>
        <w:tabs>
          <w:tab w:val="clear" w:pos="1440"/>
          <w:tab w:val="num" w:pos="720"/>
        </w:tabs>
        <w:spacing w:line="278" w:lineRule="auto"/>
        <w:ind w:left="720"/>
        <w:rPr>
          <w:sz w:val="22"/>
          <w:szCs w:val="22"/>
        </w:rPr>
      </w:pPr>
      <w:r w:rsidRPr="00052840">
        <w:rPr>
          <w:sz w:val="22"/>
          <w:szCs w:val="22"/>
        </w:rPr>
        <w:t>Separating ELA and math status (instead of one combined status) for transparency;</w:t>
      </w:r>
    </w:p>
    <w:p w14:paraId="6C9BA1BC" w14:textId="77777777" w:rsidR="00445041" w:rsidRPr="00052840" w:rsidRDefault="00445041" w:rsidP="00F627E8">
      <w:pPr>
        <w:numPr>
          <w:ilvl w:val="1"/>
          <w:numId w:val="12"/>
        </w:numPr>
        <w:tabs>
          <w:tab w:val="clear" w:pos="1440"/>
          <w:tab w:val="num" w:pos="720"/>
        </w:tabs>
        <w:spacing w:line="278" w:lineRule="auto"/>
        <w:ind w:left="720"/>
        <w:rPr>
          <w:sz w:val="22"/>
          <w:szCs w:val="22"/>
        </w:rPr>
      </w:pPr>
      <w:r w:rsidRPr="00052840">
        <w:rPr>
          <w:sz w:val="22"/>
          <w:szCs w:val="22"/>
        </w:rPr>
        <w:t>Separating status and improvement so stakeholders can see whether low status is at least improving or high status is declining.</w:t>
      </w:r>
    </w:p>
    <w:p w14:paraId="6DE7185F" w14:textId="77777777" w:rsidR="00445041" w:rsidRPr="00052840" w:rsidRDefault="00445041" w:rsidP="008574DF">
      <w:pPr>
        <w:numPr>
          <w:ilvl w:val="0"/>
          <w:numId w:val="12"/>
        </w:numPr>
        <w:tabs>
          <w:tab w:val="clear" w:pos="720"/>
          <w:tab w:val="num" w:pos="360"/>
        </w:tabs>
        <w:spacing w:after="160" w:line="278" w:lineRule="auto"/>
        <w:ind w:left="360"/>
        <w:rPr>
          <w:sz w:val="22"/>
          <w:szCs w:val="22"/>
        </w:rPr>
      </w:pPr>
      <w:r w:rsidRPr="00052840">
        <w:rPr>
          <w:sz w:val="22"/>
          <w:szCs w:val="22"/>
        </w:rPr>
        <w:t>TAC highlights one clear anomaly: elementary “Good” status cut points do not follow the same stair-step pattern seen in other levels/categories, flagging it for review.</w:t>
      </w:r>
    </w:p>
    <w:p w14:paraId="25047652" w14:textId="79E81DA8" w:rsidR="00445041" w:rsidRPr="00052840" w:rsidRDefault="00445041" w:rsidP="00445041">
      <w:pPr>
        <w:pStyle w:val="Heading3"/>
        <w:spacing w:after="0"/>
        <w:rPr>
          <w:sz w:val="22"/>
          <w:szCs w:val="22"/>
        </w:rPr>
      </w:pPr>
      <w:r w:rsidRPr="00052840">
        <w:rPr>
          <w:sz w:val="22"/>
          <w:szCs w:val="22"/>
        </w:rPr>
        <w:t xml:space="preserve">Action </w:t>
      </w:r>
    </w:p>
    <w:p w14:paraId="373BF74A" w14:textId="77777777" w:rsidR="00445041" w:rsidRPr="00052840" w:rsidRDefault="00445041" w:rsidP="008574DF">
      <w:pPr>
        <w:numPr>
          <w:ilvl w:val="0"/>
          <w:numId w:val="13"/>
        </w:numPr>
        <w:tabs>
          <w:tab w:val="clear" w:pos="720"/>
          <w:tab w:val="num" w:pos="360"/>
        </w:tabs>
        <w:spacing w:line="278" w:lineRule="auto"/>
        <w:ind w:left="360"/>
        <w:rPr>
          <w:sz w:val="22"/>
          <w:szCs w:val="22"/>
        </w:rPr>
      </w:pPr>
      <w:r w:rsidRPr="00052840">
        <w:rPr>
          <w:sz w:val="22"/>
          <w:szCs w:val="22"/>
        </w:rPr>
        <w:t>NDE will:</w:t>
      </w:r>
    </w:p>
    <w:p w14:paraId="128AA103" w14:textId="77777777" w:rsidR="00445041" w:rsidRPr="00052840" w:rsidRDefault="00445041" w:rsidP="008574DF">
      <w:pPr>
        <w:numPr>
          <w:ilvl w:val="1"/>
          <w:numId w:val="13"/>
        </w:numPr>
        <w:tabs>
          <w:tab w:val="clear" w:pos="1440"/>
          <w:tab w:val="num" w:pos="720"/>
        </w:tabs>
        <w:spacing w:line="278" w:lineRule="auto"/>
        <w:ind w:left="720"/>
        <w:rPr>
          <w:sz w:val="22"/>
          <w:szCs w:val="22"/>
        </w:rPr>
      </w:pPr>
      <w:r w:rsidRPr="00052840">
        <w:rPr>
          <w:sz w:val="22"/>
          <w:szCs w:val="22"/>
        </w:rPr>
        <w:t>Re</w:t>
      </w:r>
      <w:r w:rsidRPr="00052840">
        <w:rPr>
          <w:sz w:val="22"/>
          <w:szCs w:val="22"/>
        </w:rPr>
        <w:noBreakHyphen/>
        <w:t>examine the elementary “Good” cut point and the distribution of proficiency for schools in that cell, comparing them with “Needs Support” and “Great” schools.</w:t>
      </w:r>
    </w:p>
    <w:p w14:paraId="6B4F9C5F" w14:textId="77777777" w:rsidR="00445041" w:rsidRPr="00052840" w:rsidRDefault="00445041" w:rsidP="008574DF">
      <w:pPr>
        <w:numPr>
          <w:ilvl w:val="1"/>
          <w:numId w:val="13"/>
        </w:numPr>
        <w:tabs>
          <w:tab w:val="clear" w:pos="1440"/>
          <w:tab w:val="num" w:pos="720"/>
        </w:tabs>
        <w:spacing w:line="278" w:lineRule="auto"/>
        <w:ind w:left="720"/>
        <w:rPr>
          <w:sz w:val="22"/>
          <w:szCs w:val="22"/>
        </w:rPr>
      </w:pPr>
      <w:r w:rsidRPr="00052840">
        <w:rPr>
          <w:sz w:val="22"/>
          <w:szCs w:val="22"/>
        </w:rPr>
        <w:t>Investigate outlier schools (very low proficiency but “Good,” and relatively high proficiency but “Needs Support”) to understand exactly where they gain/</w:t>
      </w:r>
      <w:proofErr w:type="spellStart"/>
      <w:r w:rsidRPr="00052840">
        <w:rPr>
          <w:sz w:val="22"/>
          <w:szCs w:val="22"/>
        </w:rPr>
        <w:t>lose</w:t>
      </w:r>
      <w:proofErr w:type="spellEnd"/>
      <w:r w:rsidRPr="00052840">
        <w:rPr>
          <w:sz w:val="22"/>
          <w:szCs w:val="22"/>
        </w:rPr>
        <w:t xml:space="preserve"> points (growth, science, readiness, etc.).</w:t>
      </w:r>
    </w:p>
    <w:p w14:paraId="682ECFC3" w14:textId="77777777" w:rsidR="00445041" w:rsidRPr="00052840" w:rsidRDefault="00445041" w:rsidP="008574DF">
      <w:pPr>
        <w:numPr>
          <w:ilvl w:val="1"/>
          <w:numId w:val="13"/>
        </w:numPr>
        <w:tabs>
          <w:tab w:val="clear" w:pos="1440"/>
          <w:tab w:val="num" w:pos="720"/>
        </w:tabs>
        <w:spacing w:line="278" w:lineRule="auto"/>
        <w:ind w:left="720"/>
        <w:rPr>
          <w:sz w:val="22"/>
          <w:szCs w:val="22"/>
        </w:rPr>
      </w:pPr>
      <w:r w:rsidRPr="00052840">
        <w:rPr>
          <w:sz w:val="22"/>
          <w:szCs w:val="22"/>
        </w:rPr>
        <w:t>Confirm and document science, ELA, and math weights and threshold-setting methods, ensuring science expectations are not unintentionally misaligned.</w:t>
      </w:r>
    </w:p>
    <w:p w14:paraId="66E5515E" w14:textId="77777777" w:rsidR="00445041" w:rsidRPr="00052840" w:rsidRDefault="00445041" w:rsidP="008574DF">
      <w:pPr>
        <w:numPr>
          <w:ilvl w:val="0"/>
          <w:numId w:val="13"/>
        </w:numPr>
        <w:tabs>
          <w:tab w:val="clear" w:pos="720"/>
          <w:tab w:val="num" w:pos="360"/>
        </w:tabs>
        <w:spacing w:after="160" w:line="278" w:lineRule="auto"/>
        <w:ind w:left="360"/>
        <w:rPr>
          <w:sz w:val="22"/>
          <w:szCs w:val="22"/>
        </w:rPr>
      </w:pPr>
      <w:r w:rsidRPr="00052840">
        <w:rPr>
          <w:sz w:val="22"/>
          <w:szCs w:val="22"/>
        </w:rPr>
        <w:t xml:space="preserve">NDE has committed that ELA and math results will be publicly split </w:t>
      </w:r>
      <w:proofErr w:type="gramStart"/>
      <w:r w:rsidRPr="00052840">
        <w:rPr>
          <w:sz w:val="22"/>
          <w:szCs w:val="22"/>
        </w:rPr>
        <w:t>in</w:t>
      </w:r>
      <w:proofErr w:type="gramEnd"/>
      <w:r w:rsidRPr="00052840">
        <w:rPr>
          <w:sz w:val="22"/>
          <w:szCs w:val="22"/>
        </w:rPr>
        <w:t xml:space="preserve"> NEP reporting (percents proficient and scores), even if combined in a single status indicator; TAC is still encouraging further consideration of separate status indicators for accountability ratings themselves.</w:t>
      </w:r>
    </w:p>
    <w:p w14:paraId="3969A5A5" w14:textId="77777777" w:rsidR="00445041" w:rsidRPr="00052840" w:rsidRDefault="00445041" w:rsidP="00445041">
      <w:pPr>
        <w:spacing w:after="240" w:line="278" w:lineRule="auto"/>
        <w:rPr>
          <w:sz w:val="22"/>
          <w:szCs w:val="22"/>
        </w:rPr>
      </w:pPr>
    </w:p>
    <w:p w14:paraId="479C38D2" w14:textId="671ACBF6" w:rsidR="00445041" w:rsidRPr="00052840" w:rsidRDefault="00445041" w:rsidP="00445041">
      <w:pPr>
        <w:spacing w:after="160" w:line="278" w:lineRule="auto"/>
        <w:rPr>
          <w:sz w:val="22"/>
          <w:szCs w:val="22"/>
        </w:rPr>
      </w:pPr>
    </w:p>
    <w:p w14:paraId="51370254" w14:textId="54064E06" w:rsidR="00445041" w:rsidRPr="00052840" w:rsidRDefault="00445041" w:rsidP="00445041">
      <w:pPr>
        <w:pStyle w:val="Heading3"/>
        <w:spacing w:after="0"/>
        <w:rPr>
          <w:sz w:val="22"/>
          <w:szCs w:val="22"/>
        </w:rPr>
      </w:pPr>
      <w:r w:rsidRPr="00052840">
        <w:rPr>
          <w:sz w:val="22"/>
          <w:szCs w:val="22"/>
        </w:rPr>
        <w:lastRenderedPageBreak/>
        <w:t>Communication with districts and the public</w:t>
      </w:r>
    </w:p>
    <w:p w14:paraId="466127BC" w14:textId="77777777" w:rsidR="00445041" w:rsidRPr="00052840" w:rsidRDefault="00445041" w:rsidP="008574DF">
      <w:pPr>
        <w:numPr>
          <w:ilvl w:val="0"/>
          <w:numId w:val="14"/>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anticipates narrative challenges when schools move from Excellent to Great or Good with similar underlying data because the indicator structure and aggregation changed.</w:t>
      </w:r>
    </w:p>
    <w:p w14:paraId="183E3243" w14:textId="77777777" w:rsidR="00445041" w:rsidRPr="00052840" w:rsidRDefault="00445041" w:rsidP="008574DF">
      <w:pPr>
        <w:numPr>
          <w:ilvl w:val="0"/>
          <w:numId w:val="14"/>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stresses the importance of:</w:t>
      </w:r>
    </w:p>
    <w:p w14:paraId="251AFB73" w14:textId="77777777" w:rsidR="00445041" w:rsidRPr="00052840" w:rsidRDefault="00445041" w:rsidP="008574DF">
      <w:pPr>
        <w:numPr>
          <w:ilvl w:val="1"/>
          <w:numId w:val="14"/>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Explaining how multiple measures can offset low status;</w:t>
      </w:r>
    </w:p>
    <w:p w14:paraId="172D2CB8" w14:textId="77777777" w:rsidR="00445041" w:rsidRPr="00052840" w:rsidRDefault="00445041" w:rsidP="008574DF">
      <w:pPr>
        <w:numPr>
          <w:ilvl w:val="1"/>
          <w:numId w:val="14"/>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Making clear that “status doesn’t guarantee anything”; and</w:t>
      </w:r>
    </w:p>
    <w:p w14:paraId="3B193C53" w14:textId="77777777" w:rsidR="00445041" w:rsidRPr="00052840" w:rsidRDefault="00445041" w:rsidP="008574DF">
      <w:pPr>
        <w:numPr>
          <w:ilvl w:val="1"/>
          <w:numId w:val="14"/>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Ensuring stakeholders understand why some low-status schools classify as Good and some higher-status schools fall into Needs Support.</w:t>
      </w:r>
    </w:p>
    <w:p w14:paraId="522C1FCE" w14:textId="77777777" w:rsidR="00445041" w:rsidRPr="00052840" w:rsidRDefault="00445041" w:rsidP="008574DF">
      <w:pPr>
        <w:numPr>
          <w:ilvl w:val="0"/>
          <w:numId w:val="14"/>
        </w:numPr>
        <w:tabs>
          <w:tab w:val="clear" w:pos="720"/>
          <w:tab w:val="num" w:pos="360"/>
        </w:tabs>
        <w:spacing w:after="160"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notes that naming levels “Good/Great/Excellent” vs “Needs Support to Improve” may create dissonance when very low-proficiency schools land in “Good.”</w:t>
      </w:r>
    </w:p>
    <w:p w14:paraId="01CD1202" w14:textId="08EF6C0B" w:rsidR="00445041" w:rsidRPr="00052840" w:rsidRDefault="00445041" w:rsidP="00667C81">
      <w:pPr>
        <w:pStyle w:val="Heading3"/>
        <w:spacing w:after="0"/>
        <w:rPr>
          <w:sz w:val="22"/>
          <w:szCs w:val="22"/>
        </w:rPr>
      </w:pPr>
      <w:r w:rsidRPr="00052840">
        <w:rPr>
          <w:sz w:val="22"/>
          <w:szCs w:val="22"/>
        </w:rPr>
        <w:t xml:space="preserve">Action </w:t>
      </w:r>
    </w:p>
    <w:p w14:paraId="333886FB" w14:textId="77777777" w:rsidR="00445041" w:rsidRPr="00052840" w:rsidRDefault="00445041" w:rsidP="008574DF">
      <w:pPr>
        <w:numPr>
          <w:ilvl w:val="0"/>
          <w:numId w:val="15"/>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NDE will:</w:t>
      </w:r>
    </w:p>
    <w:p w14:paraId="1A9F2421" w14:textId="77777777" w:rsidR="00445041" w:rsidRPr="00052840" w:rsidRDefault="00445041" w:rsidP="008574DF">
      <w:pPr>
        <w:numPr>
          <w:ilvl w:val="1"/>
          <w:numId w:val="15"/>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Develop clear explanatory materials that show how points are earned on each indicator and how they aggregate to the final classification (including sample school profiles).</w:t>
      </w:r>
    </w:p>
    <w:p w14:paraId="6639C168" w14:textId="77777777" w:rsidR="00445041" w:rsidRPr="00052840" w:rsidRDefault="00445041" w:rsidP="008574DF">
      <w:pPr>
        <w:numPr>
          <w:ilvl w:val="1"/>
          <w:numId w:val="15"/>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Use one-on-one sessions and office hours with districts (superintendents, DACs) to review their results, especially where classification changes are counterintuitive.</w:t>
      </w:r>
    </w:p>
    <w:p w14:paraId="50BD8E31" w14:textId="77777777" w:rsidR="00445041" w:rsidRPr="00052840" w:rsidRDefault="00445041" w:rsidP="008574DF">
      <w:pPr>
        <w:numPr>
          <w:ilvl w:val="1"/>
          <w:numId w:val="15"/>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Explicitly address in guidance how schools with low proficiency but high growth (or strong science, or readiness) can land in “Good,” and conversely how high-proficiency schools can fall to Needs Support due to weak growth or readiness.</w:t>
      </w:r>
    </w:p>
    <w:p w14:paraId="1304DEB9" w14:textId="77777777" w:rsidR="00445041" w:rsidRPr="00052840" w:rsidRDefault="00445041" w:rsidP="00C556BC">
      <w:pPr>
        <w:numPr>
          <w:ilvl w:val="1"/>
          <w:numId w:val="15"/>
        </w:numPr>
        <w:tabs>
          <w:tab w:val="clear" w:pos="1440"/>
          <w:tab w:val="num" w:pos="720"/>
        </w:tabs>
        <w:spacing w:after="120"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Revisit naming conventions or at least clarify what “Good” and “Needs Support” mean in practice.</w:t>
      </w:r>
    </w:p>
    <w:p w14:paraId="2FD5585F" w14:textId="2C61A017" w:rsidR="00667C81" w:rsidRPr="00052840" w:rsidRDefault="00667C81" w:rsidP="00667C81">
      <w:pPr>
        <w:pStyle w:val="Heading3"/>
        <w:spacing w:after="0"/>
        <w:rPr>
          <w:sz w:val="22"/>
          <w:szCs w:val="22"/>
        </w:rPr>
      </w:pPr>
      <w:r w:rsidRPr="00052840">
        <w:rPr>
          <w:sz w:val="22"/>
          <w:szCs w:val="22"/>
        </w:rPr>
        <w:t>Future refinements and additional indicators</w:t>
      </w:r>
    </w:p>
    <w:p w14:paraId="26AC09B5" w14:textId="38475DA9" w:rsidR="00667C81" w:rsidRPr="00052840" w:rsidRDefault="00667C81" w:rsidP="008574DF">
      <w:pPr>
        <w:numPr>
          <w:ilvl w:val="0"/>
          <w:numId w:val="16"/>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and advisory groups have raised future-refinement questions about:</w:t>
      </w:r>
    </w:p>
    <w:p w14:paraId="30FD2C63" w14:textId="77777777" w:rsidR="00667C81" w:rsidRPr="00052840" w:rsidRDefault="00667C81" w:rsidP="008574DF">
      <w:pPr>
        <w:numPr>
          <w:ilvl w:val="1"/>
          <w:numId w:val="16"/>
        </w:numPr>
        <w:tabs>
          <w:tab w:val="clear" w:pos="1440"/>
          <w:tab w:val="num" w:pos="720"/>
        </w:tabs>
        <w:spacing w:line="278" w:lineRule="auto"/>
        <w:ind w:left="720" w:hanging="27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Military readiness,</w:t>
      </w:r>
    </w:p>
    <w:p w14:paraId="7B9C9E50" w14:textId="77777777" w:rsidR="00667C81" w:rsidRPr="00052840" w:rsidRDefault="00667C81" w:rsidP="008574DF">
      <w:pPr>
        <w:numPr>
          <w:ilvl w:val="1"/>
          <w:numId w:val="16"/>
        </w:numPr>
        <w:tabs>
          <w:tab w:val="clear" w:pos="1440"/>
          <w:tab w:val="num" w:pos="720"/>
        </w:tabs>
        <w:spacing w:line="278" w:lineRule="auto"/>
        <w:ind w:left="720" w:hanging="27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Early literacy,</w:t>
      </w:r>
    </w:p>
    <w:p w14:paraId="427266C9" w14:textId="77777777" w:rsidR="00667C81" w:rsidRPr="00052840" w:rsidRDefault="00667C81" w:rsidP="008574DF">
      <w:pPr>
        <w:numPr>
          <w:ilvl w:val="1"/>
          <w:numId w:val="16"/>
        </w:numPr>
        <w:tabs>
          <w:tab w:val="clear" w:pos="1440"/>
          <w:tab w:val="num" w:pos="720"/>
        </w:tabs>
        <w:spacing w:line="278" w:lineRule="auto"/>
        <w:ind w:left="720" w:hanging="27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Industry-recognized credentials.</w:t>
      </w:r>
    </w:p>
    <w:p w14:paraId="39DE1372" w14:textId="77777777" w:rsidR="00667C81" w:rsidRPr="00052840" w:rsidRDefault="00667C81" w:rsidP="008574DF">
      <w:pPr>
        <w:numPr>
          <w:ilvl w:val="0"/>
          <w:numId w:val="16"/>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guidance:</w:t>
      </w:r>
    </w:p>
    <w:p w14:paraId="179CE1DF" w14:textId="77777777" w:rsidR="00667C81" w:rsidRPr="00052840" w:rsidRDefault="00667C81" w:rsidP="008574DF">
      <w:pPr>
        <w:numPr>
          <w:ilvl w:val="1"/>
          <w:numId w:val="16"/>
        </w:numPr>
        <w:tabs>
          <w:tab w:val="clear" w:pos="1440"/>
          <w:tab w:val="num" w:pos="720"/>
        </w:tabs>
        <w:spacing w:line="278" w:lineRule="auto"/>
        <w:ind w:left="720" w:hanging="27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Do not include early literacy screeners as high-stakes accountability indicators.</w:t>
      </w:r>
    </w:p>
    <w:p w14:paraId="7891D93D" w14:textId="77777777" w:rsidR="00667C81" w:rsidRPr="00052840" w:rsidRDefault="00667C81" w:rsidP="008574DF">
      <w:pPr>
        <w:numPr>
          <w:ilvl w:val="1"/>
          <w:numId w:val="16"/>
        </w:numPr>
        <w:tabs>
          <w:tab w:val="clear" w:pos="1440"/>
          <w:tab w:val="num" w:pos="720"/>
        </w:tabs>
        <w:spacing w:line="278" w:lineRule="auto"/>
        <w:ind w:left="720" w:hanging="27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If military readiness is included, make it a compound indicator (readiness plus enlistment/acceptance), not just a test score.</w:t>
      </w:r>
    </w:p>
    <w:p w14:paraId="0E47DFF7" w14:textId="62BB2B57" w:rsidR="00667C81" w:rsidRPr="00052840" w:rsidRDefault="00667C81" w:rsidP="008574DF">
      <w:pPr>
        <w:numPr>
          <w:ilvl w:val="1"/>
          <w:numId w:val="16"/>
        </w:numPr>
        <w:tabs>
          <w:tab w:val="clear" w:pos="1440"/>
          <w:tab w:val="num" w:pos="720"/>
        </w:tabs>
        <w:spacing w:line="278" w:lineRule="auto"/>
        <w:ind w:left="720" w:hanging="27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 xml:space="preserve">Count only industry credentials that are in high-wage, high-demand fields and were </w:t>
      </w:r>
      <w:r w:rsidR="00017D49" w:rsidRPr="00052840">
        <w:rPr>
          <w:rFonts w:eastAsia="Aptos" w:cs="Times New Roman"/>
          <w:kern w:val="2"/>
          <w:sz w:val="22"/>
          <w:szCs w:val="22"/>
          <w14:ligatures w14:val="standardContextual"/>
        </w:rPr>
        <w:t>earned</w:t>
      </w:r>
      <w:r w:rsidRPr="00052840">
        <w:rPr>
          <w:rFonts w:eastAsia="Aptos" w:cs="Times New Roman"/>
          <w:kern w:val="2"/>
          <w:sz w:val="22"/>
          <w:szCs w:val="22"/>
          <w14:ligatures w14:val="standardContextual"/>
        </w:rPr>
        <w:t xml:space="preserve"> (not just pathway participation).</w:t>
      </w:r>
    </w:p>
    <w:p w14:paraId="7667C24C" w14:textId="77777777" w:rsidR="00667C81" w:rsidRDefault="00667C81" w:rsidP="00017D49">
      <w:pPr>
        <w:numPr>
          <w:ilvl w:val="0"/>
          <w:numId w:val="16"/>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 xml:space="preserve">TAC also reiterates support for keeping indicators predominantly outcome-based (rather than input-based), which is aligned with ESSA and the current </w:t>
      </w:r>
      <w:proofErr w:type="spellStart"/>
      <w:r w:rsidRPr="00052840">
        <w:rPr>
          <w:rFonts w:eastAsia="Aptos" w:cs="Times New Roman"/>
          <w:kern w:val="2"/>
          <w:sz w:val="22"/>
          <w:szCs w:val="22"/>
          <w14:ligatures w14:val="standardContextual"/>
        </w:rPr>
        <w:t>AQuESTT</w:t>
      </w:r>
      <w:proofErr w:type="spellEnd"/>
      <w:r w:rsidRPr="00052840">
        <w:rPr>
          <w:rFonts w:eastAsia="Aptos" w:cs="Times New Roman"/>
          <w:kern w:val="2"/>
          <w:sz w:val="22"/>
          <w:szCs w:val="22"/>
          <w14:ligatures w14:val="standardContextual"/>
        </w:rPr>
        <w:t xml:space="preserve"> direction.</w:t>
      </w:r>
    </w:p>
    <w:p w14:paraId="3BF8038B" w14:textId="77777777" w:rsidR="00017D49" w:rsidRPr="00052840" w:rsidRDefault="00017D49" w:rsidP="00017D49">
      <w:pPr>
        <w:tabs>
          <w:tab w:val="num" w:pos="360"/>
        </w:tabs>
        <w:spacing w:line="278" w:lineRule="auto"/>
        <w:ind w:left="360"/>
        <w:rPr>
          <w:rFonts w:eastAsia="Aptos" w:cs="Times New Roman"/>
          <w:kern w:val="2"/>
          <w:sz w:val="22"/>
          <w:szCs w:val="22"/>
          <w14:ligatures w14:val="standardContextual"/>
        </w:rPr>
      </w:pPr>
    </w:p>
    <w:p w14:paraId="0595C6F6" w14:textId="04E60F8E" w:rsidR="00667C81" w:rsidRPr="00052840" w:rsidRDefault="00667C81" w:rsidP="00667C81">
      <w:pPr>
        <w:pStyle w:val="Heading3"/>
        <w:spacing w:after="0"/>
        <w:rPr>
          <w:sz w:val="22"/>
          <w:szCs w:val="22"/>
        </w:rPr>
      </w:pPr>
      <w:r w:rsidRPr="00052840">
        <w:rPr>
          <w:sz w:val="22"/>
          <w:szCs w:val="22"/>
        </w:rPr>
        <w:t xml:space="preserve">Action </w:t>
      </w:r>
    </w:p>
    <w:p w14:paraId="0993DC47" w14:textId="77777777" w:rsidR="00667C81" w:rsidRPr="00052840" w:rsidRDefault="00667C81" w:rsidP="008574DF">
      <w:pPr>
        <w:numPr>
          <w:ilvl w:val="1"/>
          <w:numId w:val="17"/>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 xml:space="preserve">Continue to explore, but not rush to </w:t>
      </w:r>
      <w:proofErr w:type="gramStart"/>
      <w:r w:rsidRPr="00052840">
        <w:rPr>
          <w:rFonts w:eastAsia="Aptos" w:cs="Times New Roman"/>
          <w:kern w:val="2"/>
          <w:sz w:val="22"/>
          <w:szCs w:val="22"/>
          <w14:ligatures w14:val="standardContextual"/>
        </w:rPr>
        <w:t>include,</w:t>
      </w:r>
      <w:proofErr w:type="gramEnd"/>
      <w:r w:rsidRPr="00052840">
        <w:rPr>
          <w:rFonts w:eastAsia="Aptos" w:cs="Times New Roman"/>
          <w:kern w:val="2"/>
          <w:sz w:val="22"/>
          <w:szCs w:val="22"/>
          <w14:ligatures w14:val="standardContextual"/>
        </w:rPr>
        <w:t xml:space="preserve"> early literacy, military readiness, and industry credentials as accountability indicators, applying TAC’s cautions.</w:t>
      </w:r>
    </w:p>
    <w:p w14:paraId="0876569B" w14:textId="77777777" w:rsidR="00667C81" w:rsidRPr="00052840" w:rsidRDefault="00667C81" w:rsidP="008574DF">
      <w:pPr>
        <w:numPr>
          <w:ilvl w:val="1"/>
          <w:numId w:val="17"/>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If/when such indicators are piloted, define them narrowly (compound for military, earned and high-wage/high-demand for credentials) and guard against unintended testing/monitoring burdens.</w:t>
      </w:r>
    </w:p>
    <w:p w14:paraId="3EE51E5F" w14:textId="77777777" w:rsidR="00667C81" w:rsidRDefault="00667C81" w:rsidP="00491234">
      <w:pPr>
        <w:numPr>
          <w:ilvl w:val="1"/>
          <w:numId w:val="17"/>
        </w:numPr>
        <w:tabs>
          <w:tab w:val="clear" w:pos="1440"/>
          <w:tab w:val="num" w:pos="720"/>
        </w:tabs>
        <w:spacing w:after="160"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lastRenderedPageBreak/>
        <w:t>Periodically review whether splitting ELA and math status and tightening expectations for growth would improve validity and usability of the ratings.</w:t>
      </w:r>
    </w:p>
    <w:p w14:paraId="4C8220B3" w14:textId="2A4B71B3" w:rsidR="00491234" w:rsidRDefault="00941EB8" w:rsidP="00932088">
      <w:pPr>
        <w:tabs>
          <w:tab w:val="num" w:pos="720"/>
        </w:tabs>
        <w:spacing w:after="160" w:line="278" w:lineRule="auto"/>
        <w:rPr>
          <w:rFonts w:eastAsia="Aptos" w:cs="Times New Roman"/>
          <w:kern w:val="2"/>
          <w:sz w:val="22"/>
          <w:szCs w:val="22"/>
          <w14:ligatures w14:val="standardContextual"/>
        </w:rPr>
      </w:pPr>
      <w:r>
        <w:rPr>
          <w:rFonts w:eastAsia="Aptos" w:cs="Times New Roman"/>
          <w:kern w:val="2"/>
          <w:sz w:val="22"/>
          <w:szCs w:val="22"/>
          <w14:ligatures w14:val="standardContextual"/>
        </w:rPr>
        <w:t xml:space="preserve">Thoughts to consider: </w:t>
      </w:r>
    </w:p>
    <w:p w14:paraId="0E2EFEF4" w14:textId="058EBD48" w:rsidR="00941EB8" w:rsidRDefault="002626A9" w:rsidP="00932088">
      <w:pPr>
        <w:pStyle w:val="ListParagraph"/>
        <w:numPr>
          <w:ilvl w:val="0"/>
          <w:numId w:val="29"/>
        </w:numPr>
        <w:tabs>
          <w:tab w:val="num" w:pos="720"/>
        </w:tabs>
        <w:spacing w:after="160" w:line="278" w:lineRule="auto"/>
        <w:rPr>
          <w:rFonts w:eastAsia="Aptos" w:cs="Times New Roman"/>
          <w:kern w:val="2"/>
          <w:sz w:val="22"/>
          <w:szCs w:val="22"/>
          <w14:ligatures w14:val="standardContextual"/>
        </w:rPr>
      </w:pPr>
      <w:r>
        <w:rPr>
          <w:rFonts w:eastAsia="Aptos" w:cs="Times New Roman"/>
          <w:kern w:val="2"/>
          <w:sz w:val="22"/>
          <w:szCs w:val="22"/>
          <w14:ligatures w14:val="standardContextual"/>
        </w:rPr>
        <w:t>Influence of sample size of schools or districts when evaluating the new model with archival or current data</w:t>
      </w:r>
    </w:p>
    <w:p w14:paraId="2EB1EAB9" w14:textId="413BB4EA" w:rsidR="002626A9" w:rsidRDefault="00026C1F" w:rsidP="00626C2C">
      <w:pPr>
        <w:pStyle w:val="ListParagraph"/>
        <w:numPr>
          <w:ilvl w:val="1"/>
          <w:numId w:val="29"/>
        </w:numPr>
        <w:tabs>
          <w:tab w:val="num" w:pos="720"/>
        </w:tabs>
        <w:spacing w:after="160" w:line="278" w:lineRule="auto"/>
        <w:rPr>
          <w:rFonts w:eastAsia="Aptos" w:cs="Times New Roman"/>
          <w:kern w:val="2"/>
          <w:sz w:val="22"/>
          <w:szCs w:val="22"/>
          <w14:ligatures w14:val="standardContextual"/>
        </w:rPr>
      </w:pPr>
      <w:r>
        <w:rPr>
          <w:rFonts w:eastAsia="Aptos" w:cs="Times New Roman"/>
          <w:kern w:val="2"/>
          <w:sz w:val="22"/>
          <w:szCs w:val="22"/>
          <w14:ligatures w14:val="standardContextual"/>
        </w:rPr>
        <w:t>Small schools/districts</w:t>
      </w:r>
      <w:r w:rsidR="0083269A">
        <w:rPr>
          <w:rFonts w:eastAsia="Aptos" w:cs="Times New Roman"/>
          <w:kern w:val="2"/>
          <w:sz w:val="22"/>
          <w:szCs w:val="22"/>
          <w14:ligatures w14:val="standardContextual"/>
        </w:rPr>
        <w:t xml:space="preserve"> are</w:t>
      </w:r>
      <w:r>
        <w:rPr>
          <w:rFonts w:eastAsia="Aptos" w:cs="Times New Roman"/>
          <w:kern w:val="2"/>
          <w:sz w:val="22"/>
          <w:szCs w:val="22"/>
          <w14:ligatures w14:val="standardContextual"/>
        </w:rPr>
        <w:t xml:space="preserve"> compared to large schools/districts without accounting for the differential weight that the large schools have on statewide performance</w:t>
      </w:r>
    </w:p>
    <w:p w14:paraId="4580B5DE" w14:textId="3C82664D" w:rsidR="00626C2C" w:rsidRDefault="00626C2C" w:rsidP="00626C2C">
      <w:pPr>
        <w:pStyle w:val="ListParagraph"/>
        <w:numPr>
          <w:ilvl w:val="1"/>
          <w:numId w:val="29"/>
        </w:numPr>
        <w:tabs>
          <w:tab w:val="num" w:pos="720"/>
        </w:tabs>
        <w:spacing w:after="160" w:line="278" w:lineRule="auto"/>
        <w:rPr>
          <w:rFonts w:eastAsia="Aptos" w:cs="Times New Roman"/>
          <w:kern w:val="2"/>
          <w:sz w:val="22"/>
          <w:szCs w:val="22"/>
          <w14:ligatures w14:val="standardContextual"/>
        </w:rPr>
      </w:pPr>
      <w:r>
        <w:rPr>
          <w:rFonts w:eastAsia="Aptos" w:cs="Times New Roman"/>
          <w:kern w:val="2"/>
          <w:sz w:val="22"/>
          <w:szCs w:val="22"/>
          <w14:ligatures w14:val="standardContextual"/>
        </w:rPr>
        <w:t xml:space="preserve">Concern: larger schools will necessarily be more </w:t>
      </w:r>
      <w:proofErr w:type="gramStart"/>
      <w:r>
        <w:rPr>
          <w:rFonts w:eastAsia="Aptos" w:cs="Times New Roman"/>
          <w:kern w:val="2"/>
          <w:sz w:val="22"/>
          <w:szCs w:val="22"/>
          <w14:ligatures w14:val="standardContextual"/>
        </w:rPr>
        <w:t xml:space="preserve">similar </w:t>
      </w:r>
      <w:r w:rsidR="00125E44">
        <w:rPr>
          <w:rFonts w:eastAsia="Aptos" w:cs="Times New Roman"/>
          <w:kern w:val="2"/>
          <w:sz w:val="22"/>
          <w:szCs w:val="22"/>
          <w14:ligatures w14:val="standardContextual"/>
        </w:rPr>
        <w:t>to</w:t>
      </w:r>
      <w:proofErr w:type="gramEnd"/>
      <w:r w:rsidR="00125E44">
        <w:rPr>
          <w:rFonts w:eastAsia="Aptos" w:cs="Times New Roman"/>
          <w:kern w:val="2"/>
          <w:sz w:val="22"/>
          <w:szCs w:val="22"/>
          <w14:ligatures w14:val="standardContextual"/>
        </w:rPr>
        <w:t xml:space="preserve"> the state average because their students primarily </w:t>
      </w:r>
      <w:proofErr w:type="gramStart"/>
      <w:r w:rsidR="00C52B2E">
        <w:rPr>
          <w:rFonts w:eastAsia="Aptos" w:cs="Times New Roman"/>
          <w:kern w:val="2"/>
          <w:sz w:val="22"/>
          <w:szCs w:val="22"/>
          <w14:ligatures w14:val="standardContextual"/>
        </w:rPr>
        <w:t>contribute</w:t>
      </w:r>
      <w:r w:rsidR="00125E44">
        <w:rPr>
          <w:rFonts w:eastAsia="Aptos" w:cs="Times New Roman"/>
          <w:kern w:val="2"/>
          <w:sz w:val="22"/>
          <w:szCs w:val="22"/>
          <w14:ligatures w14:val="standardContextual"/>
        </w:rPr>
        <w:t xml:space="preserve"> </w:t>
      </w:r>
      <w:r w:rsidR="00335C5B">
        <w:rPr>
          <w:rFonts w:eastAsia="Aptos" w:cs="Times New Roman"/>
          <w:kern w:val="2"/>
          <w:sz w:val="22"/>
          <w:szCs w:val="22"/>
          <w14:ligatures w14:val="standardContextual"/>
        </w:rPr>
        <w:t>to</w:t>
      </w:r>
      <w:proofErr w:type="gramEnd"/>
      <w:r w:rsidR="00335C5B">
        <w:rPr>
          <w:rFonts w:eastAsia="Aptos" w:cs="Times New Roman"/>
          <w:kern w:val="2"/>
          <w:sz w:val="22"/>
          <w:szCs w:val="22"/>
          <w14:ligatures w14:val="standardContextual"/>
        </w:rPr>
        <w:t xml:space="preserve"> </w:t>
      </w:r>
      <w:r w:rsidR="0042425D">
        <w:rPr>
          <w:rFonts w:eastAsia="Aptos" w:cs="Times New Roman"/>
          <w:kern w:val="2"/>
          <w:sz w:val="22"/>
          <w:szCs w:val="22"/>
          <w14:ligatures w14:val="standardContextual"/>
        </w:rPr>
        <w:t xml:space="preserve">that information. </w:t>
      </w:r>
    </w:p>
    <w:p w14:paraId="0DBAC585" w14:textId="7822671E" w:rsidR="00941EB8" w:rsidRPr="000008F6" w:rsidRDefault="000008F6" w:rsidP="000008F6">
      <w:pPr>
        <w:pStyle w:val="ListParagraph"/>
        <w:numPr>
          <w:ilvl w:val="0"/>
          <w:numId w:val="29"/>
        </w:numPr>
        <w:tabs>
          <w:tab w:val="num" w:pos="720"/>
        </w:tabs>
        <w:spacing w:after="600" w:line="278" w:lineRule="auto"/>
        <w:rPr>
          <w:rFonts w:eastAsia="Aptos" w:cs="Times New Roman"/>
          <w:kern w:val="2"/>
          <w:sz w:val="22"/>
          <w:szCs w:val="22"/>
          <w14:ligatures w14:val="standardContextual"/>
        </w:rPr>
      </w:pPr>
      <w:r>
        <w:rPr>
          <w:rFonts w:eastAsia="Aptos" w:cs="Times New Roman"/>
          <w:kern w:val="2"/>
          <w:sz w:val="22"/>
          <w:szCs w:val="22"/>
          <w14:ligatures w14:val="standardContextual"/>
        </w:rPr>
        <w:t>Accountability model topic that warrants further discussion if results for this year are not interpreted as credible by stakeholder groups</w:t>
      </w:r>
    </w:p>
    <w:p w14:paraId="2AC2D21D" w14:textId="3A0758BD" w:rsidR="00667C81" w:rsidRPr="00052840" w:rsidRDefault="003F5B05" w:rsidP="00667C81">
      <w:pPr>
        <w:spacing w:after="120"/>
        <w:rPr>
          <w:b/>
          <w:bCs/>
          <w:sz w:val="22"/>
          <w:szCs w:val="22"/>
        </w:rPr>
      </w:pPr>
      <w:r w:rsidRPr="00052840">
        <w:rPr>
          <w:b/>
          <w:bCs/>
          <w:sz w:val="22"/>
          <w:szCs w:val="22"/>
        </w:rPr>
        <w:t>11:30 a.m. Allyson DenBeste &amp; Olivia Alberts Reading Screener Update</w:t>
      </w:r>
    </w:p>
    <w:p w14:paraId="0F035989" w14:textId="09041183" w:rsidR="00667C81" w:rsidRPr="00052840" w:rsidRDefault="00017D49" w:rsidP="00667C81">
      <w:pPr>
        <w:pStyle w:val="Heading3"/>
        <w:spacing w:after="0"/>
        <w:rPr>
          <w:sz w:val="22"/>
          <w:szCs w:val="22"/>
        </w:rPr>
      </w:pPr>
      <w:r>
        <w:rPr>
          <w:sz w:val="22"/>
          <w:szCs w:val="22"/>
        </w:rPr>
        <w:t>Early Literacy Screener</w:t>
      </w:r>
    </w:p>
    <w:p w14:paraId="0E8E9CB0" w14:textId="77777777" w:rsidR="00667C81" w:rsidRPr="00052840" w:rsidRDefault="00667C81" w:rsidP="008574DF">
      <w:pPr>
        <w:numPr>
          <w:ilvl w:val="0"/>
          <w:numId w:val="18"/>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NDE has used an external review (Buros Center) and is moving from multiple approved screeners toward a single statewide screener, starting in 2026–27.</w:t>
      </w:r>
    </w:p>
    <w:p w14:paraId="101DBD18" w14:textId="77777777" w:rsidR="00667C81" w:rsidRPr="00052840" w:rsidRDefault="00667C81" w:rsidP="008574DF">
      <w:pPr>
        <w:numPr>
          <w:ilvl w:val="0"/>
          <w:numId w:val="18"/>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The current multi-screener system leads to inconsistent identification criteria across districts and makes statewide reporting and interpretation of “students needing IRIPs” misleading.</w:t>
      </w:r>
    </w:p>
    <w:p w14:paraId="5FEBFB30" w14:textId="77777777" w:rsidR="00667C81" w:rsidRPr="00052840" w:rsidRDefault="00667C81" w:rsidP="00C556BC">
      <w:pPr>
        <w:numPr>
          <w:ilvl w:val="0"/>
          <w:numId w:val="18"/>
        </w:numPr>
        <w:tabs>
          <w:tab w:val="clear" w:pos="720"/>
          <w:tab w:val="num" w:pos="360"/>
        </w:tabs>
        <w:spacing w:after="120"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supports narrowing to one or at most two screeners and emphasizes choosing tools that are technically sound and short, efficient, and affordable, aligned with Nebraska’s approach to the science of reading.</w:t>
      </w:r>
    </w:p>
    <w:p w14:paraId="7B10467D" w14:textId="71C8E9C7" w:rsidR="00667C81" w:rsidRPr="00052840" w:rsidRDefault="00667C81" w:rsidP="00667C81">
      <w:pPr>
        <w:pStyle w:val="Heading3"/>
        <w:spacing w:after="0"/>
        <w:rPr>
          <w:sz w:val="22"/>
          <w:szCs w:val="22"/>
        </w:rPr>
      </w:pPr>
      <w:r w:rsidRPr="00052840">
        <w:rPr>
          <w:sz w:val="22"/>
          <w:szCs w:val="22"/>
        </w:rPr>
        <w:t xml:space="preserve">Action </w:t>
      </w:r>
    </w:p>
    <w:p w14:paraId="3A6D1263" w14:textId="77777777" w:rsidR="00667C81" w:rsidRPr="00052840" w:rsidRDefault="00667C81" w:rsidP="008574DF">
      <w:pPr>
        <w:numPr>
          <w:ilvl w:val="0"/>
          <w:numId w:val="19"/>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 xml:space="preserve">NDE will finalize the selection of a single statewide screener and publish the approved list by the March 1 deadline (likely </w:t>
      </w:r>
      <w:proofErr w:type="gramStart"/>
      <w:r w:rsidRPr="00052840">
        <w:rPr>
          <w:rFonts w:eastAsia="Aptos" w:cs="Times New Roman"/>
          <w:kern w:val="2"/>
          <w:sz w:val="22"/>
          <w:szCs w:val="22"/>
          <w14:ligatures w14:val="standardContextual"/>
        </w:rPr>
        <w:t>naming</w:t>
      </w:r>
      <w:proofErr w:type="gramEnd"/>
      <w:r w:rsidRPr="00052840">
        <w:rPr>
          <w:rFonts w:eastAsia="Aptos" w:cs="Times New Roman"/>
          <w:kern w:val="2"/>
          <w:sz w:val="22"/>
          <w:szCs w:val="22"/>
          <w14:ligatures w14:val="standardContextual"/>
        </w:rPr>
        <w:t xml:space="preserve"> one screener).</w:t>
      </w:r>
    </w:p>
    <w:p w14:paraId="6124C7E8" w14:textId="4CDFA245" w:rsidR="00667C81" w:rsidRPr="00052840" w:rsidRDefault="00667C81" w:rsidP="008574DF">
      <w:pPr>
        <w:numPr>
          <w:ilvl w:val="0"/>
          <w:numId w:val="19"/>
        </w:numPr>
        <w:tabs>
          <w:tab w:val="clear" w:pos="720"/>
          <w:tab w:val="num" w:pos="360"/>
        </w:tabs>
        <w:spacing w:after="240"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NDE will communicate clearly to the field that, while a single statewide screener is expected to be used, districts may still use additional local screeners if they choose.</w:t>
      </w:r>
    </w:p>
    <w:p w14:paraId="75D8F6AF" w14:textId="43BD73F9" w:rsidR="00667C81" w:rsidRPr="00052840" w:rsidRDefault="00667C81" w:rsidP="00667C81">
      <w:pPr>
        <w:pStyle w:val="Heading3"/>
        <w:spacing w:after="0"/>
        <w:rPr>
          <w:sz w:val="22"/>
          <w:szCs w:val="22"/>
        </w:rPr>
      </w:pPr>
      <w:r w:rsidRPr="00052840">
        <w:rPr>
          <w:sz w:val="22"/>
          <w:szCs w:val="22"/>
        </w:rPr>
        <w:t>Legislative context and stakes (LB 1050)</w:t>
      </w:r>
    </w:p>
    <w:p w14:paraId="1F7C99BA" w14:textId="77777777" w:rsidR="00667C81" w:rsidRPr="00052840" w:rsidRDefault="00667C81" w:rsidP="008574DF">
      <w:pPr>
        <w:numPr>
          <w:ilvl w:val="0"/>
          <w:numId w:val="20"/>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LB 1050 would make the screener one of several factors in third-grade retention decisions, raising the stakes associated with screener results.</w:t>
      </w:r>
    </w:p>
    <w:p w14:paraId="0A223BAE" w14:textId="77777777" w:rsidR="00667C81" w:rsidRPr="00052840" w:rsidRDefault="00667C81" w:rsidP="008574DF">
      <w:pPr>
        <w:numPr>
          <w:ilvl w:val="0"/>
          <w:numId w:val="20"/>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NDE recognizes the risk of over-identifying students for retention and intends the screener to be an early-warning and support trigger, not a stand-alone retention decision.</w:t>
      </w:r>
    </w:p>
    <w:p w14:paraId="5E584425" w14:textId="77777777" w:rsidR="00667C81" w:rsidRPr="00052840" w:rsidRDefault="00667C81" w:rsidP="00C556BC">
      <w:pPr>
        <w:numPr>
          <w:ilvl w:val="0"/>
          <w:numId w:val="20"/>
        </w:numPr>
        <w:tabs>
          <w:tab w:val="clear" w:pos="720"/>
          <w:tab w:val="num" w:pos="360"/>
        </w:tabs>
        <w:spacing w:after="120"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is concerned about using an instructional screener as a basis for promotion/retention decisions, arguing that promotion should rely on summative assessments aligned to state ELA standards (e.g., NSCAS), not on foundational-skill screeners.</w:t>
      </w:r>
    </w:p>
    <w:p w14:paraId="7B3B39A5" w14:textId="4AA3B1BA" w:rsidR="00667C81" w:rsidRPr="00052840" w:rsidRDefault="00667C81" w:rsidP="00667C81">
      <w:pPr>
        <w:pStyle w:val="Heading3"/>
        <w:spacing w:after="0"/>
        <w:rPr>
          <w:sz w:val="22"/>
          <w:szCs w:val="22"/>
        </w:rPr>
      </w:pPr>
      <w:r w:rsidRPr="00052840">
        <w:rPr>
          <w:sz w:val="22"/>
          <w:szCs w:val="22"/>
        </w:rPr>
        <w:t xml:space="preserve">Action </w:t>
      </w:r>
    </w:p>
    <w:p w14:paraId="14703F53" w14:textId="77777777" w:rsidR="00667C81" w:rsidRPr="00052840" w:rsidRDefault="00667C81" w:rsidP="008574DF">
      <w:pPr>
        <w:numPr>
          <w:ilvl w:val="1"/>
          <w:numId w:val="21"/>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Ensure that, if legislation references screeners for retention, they are used only as an initial flag, with additional evidence (second screener administration, NSCAS ELA results) providing “exit ramps.”</w:t>
      </w:r>
    </w:p>
    <w:p w14:paraId="313A1158" w14:textId="77777777" w:rsidR="00667C81" w:rsidRPr="00052840" w:rsidRDefault="00667C81" w:rsidP="008574DF">
      <w:pPr>
        <w:numPr>
          <w:ilvl w:val="1"/>
          <w:numId w:val="21"/>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lastRenderedPageBreak/>
        <w:t xml:space="preserve">Explore and define how NSCAS ELA can serve as the primary standard-based measure for promotion decisions, including identifying which standards (and </w:t>
      </w:r>
      <w:proofErr w:type="spellStart"/>
      <w:r w:rsidRPr="00052840">
        <w:rPr>
          <w:rFonts w:eastAsia="Aptos" w:cs="Times New Roman"/>
          <w:kern w:val="2"/>
          <w:sz w:val="22"/>
          <w:szCs w:val="22"/>
          <w14:ligatures w14:val="standardContextual"/>
        </w:rPr>
        <w:t>subscore</w:t>
      </w:r>
      <w:proofErr w:type="spellEnd"/>
      <w:r w:rsidRPr="00052840">
        <w:rPr>
          <w:rFonts w:eastAsia="Aptos" w:cs="Times New Roman"/>
          <w:kern w:val="2"/>
          <w:sz w:val="22"/>
          <w:szCs w:val="22"/>
          <w14:ligatures w14:val="standardContextual"/>
        </w:rPr>
        <w:t xml:space="preserve"> information) correspond to “reading on grade level.”</w:t>
      </w:r>
    </w:p>
    <w:p w14:paraId="03BCC4A7" w14:textId="12BDC3F3" w:rsidR="00667C81" w:rsidRPr="00052840" w:rsidRDefault="00667C81" w:rsidP="008574DF">
      <w:pPr>
        <w:numPr>
          <w:ilvl w:val="1"/>
          <w:numId w:val="21"/>
        </w:numPr>
        <w:tabs>
          <w:tab w:val="clear" w:pos="1440"/>
          <w:tab w:val="num" w:pos="720"/>
        </w:tabs>
        <w:spacing w:after="240"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Engage with policymakers so that any statutory language does not make the screener the sole or primary promotion tool.</w:t>
      </w:r>
    </w:p>
    <w:p w14:paraId="19D6CCE9" w14:textId="15A4A327" w:rsidR="00667C81" w:rsidRPr="00052840" w:rsidRDefault="00667C81" w:rsidP="00667C81">
      <w:pPr>
        <w:pStyle w:val="Heading3"/>
        <w:spacing w:after="0"/>
        <w:rPr>
          <w:sz w:val="22"/>
          <w:szCs w:val="22"/>
        </w:rPr>
      </w:pPr>
      <w:r w:rsidRPr="00052840">
        <w:rPr>
          <w:sz w:val="22"/>
          <w:szCs w:val="22"/>
        </w:rPr>
        <w:t>Cut scores and technical use of the screener</w:t>
      </w:r>
    </w:p>
    <w:p w14:paraId="607FB3D3" w14:textId="77777777" w:rsidR="00667C81" w:rsidRPr="00052840" w:rsidRDefault="00667C81" w:rsidP="008574DF">
      <w:pPr>
        <w:numPr>
          <w:ilvl w:val="0"/>
          <w:numId w:val="22"/>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Currently, NDE typically relies on vendor-set, norm</w:t>
      </w:r>
      <w:r w:rsidRPr="00052840">
        <w:rPr>
          <w:rFonts w:eastAsia="Aptos" w:cs="Times New Roman"/>
          <w:kern w:val="2"/>
          <w:sz w:val="22"/>
          <w:szCs w:val="22"/>
          <w14:ligatures w14:val="standardContextual"/>
        </w:rPr>
        <w:noBreakHyphen/>
        <w:t>based thresholds (often around national percentiles) for screener cut scores, which may not align well with Nebraska’s own proficiency expectations.</w:t>
      </w:r>
    </w:p>
    <w:p w14:paraId="1E2293CD" w14:textId="77777777" w:rsidR="00667C81" w:rsidRPr="00052840" w:rsidRDefault="00667C81" w:rsidP="008574DF">
      <w:pPr>
        <w:numPr>
          <w:ilvl w:val="0"/>
          <w:numId w:val="22"/>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notes that a 50th percentile “on grade level” label on a norm-referenced screener may not correspond to true on</w:t>
      </w:r>
      <w:r w:rsidRPr="00052840">
        <w:rPr>
          <w:rFonts w:eastAsia="Aptos" w:cs="Times New Roman"/>
          <w:kern w:val="2"/>
          <w:sz w:val="22"/>
          <w:szCs w:val="22"/>
          <w14:ligatures w14:val="standardContextual"/>
        </w:rPr>
        <w:noBreakHyphen/>
        <w:t>grade performance on Nebraska’s third</w:t>
      </w:r>
      <w:r w:rsidRPr="00052840">
        <w:rPr>
          <w:rFonts w:eastAsia="Aptos" w:cs="Times New Roman"/>
          <w:kern w:val="2"/>
          <w:sz w:val="22"/>
          <w:szCs w:val="22"/>
          <w14:ligatures w14:val="standardContextual"/>
        </w:rPr>
        <w:noBreakHyphen/>
        <w:t>grade ELA standards.</w:t>
      </w:r>
    </w:p>
    <w:p w14:paraId="2F8CD366" w14:textId="77777777" w:rsidR="00667C81" w:rsidRPr="00052840" w:rsidRDefault="00667C81" w:rsidP="008574DF">
      <w:pPr>
        <w:numPr>
          <w:ilvl w:val="0"/>
          <w:numId w:val="22"/>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 xml:space="preserve">TAC </w:t>
      </w:r>
      <w:proofErr w:type="gramStart"/>
      <w:r w:rsidRPr="00052840">
        <w:rPr>
          <w:rFonts w:eastAsia="Aptos" w:cs="Times New Roman"/>
          <w:kern w:val="2"/>
          <w:sz w:val="22"/>
          <w:szCs w:val="22"/>
          <w14:ligatures w14:val="standardContextual"/>
        </w:rPr>
        <w:t>recommends</w:t>
      </w:r>
      <w:proofErr w:type="gramEnd"/>
      <w:r w:rsidRPr="00052840">
        <w:rPr>
          <w:rFonts w:eastAsia="Aptos" w:cs="Times New Roman"/>
          <w:kern w:val="2"/>
          <w:sz w:val="22"/>
          <w:szCs w:val="22"/>
          <w14:ligatures w14:val="standardContextual"/>
        </w:rPr>
        <w:t>:</w:t>
      </w:r>
    </w:p>
    <w:p w14:paraId="4896C52C" w14:textId="77777777" w:rsidR="00667C81" w:rsidRPr="00052840" w:rsidRDefault="00667C81" w:rsidP="008574DF">
      <w:pPr>
        <w:numPr>
          <w:ilvl w:val="1"/>
          <w:numId w:val="22"/>
        </w:numPr>
        <w:tabs>
          <w:tab w:val="left"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Anchoring screener cut scores to predicted performance on the grade 3 summative assessment (NSCAS ELA), not just national norms.</w:t>
      </w:r>
    </w:p>
    <w:p w14:paraId="5B171002" w14:textId="77777777" w:rsidR="00667C81" w:rsidRPr="00052840" w:rsidRDefault="00667C81" w:rsidP="008574DF">
      <w:pPr>
        <w:numPr>
          <w:ilvl w:val="1"/>
          <w:numId w:val="22"/>
        </w:numPr>
        <w:tabs>
          <w:tab w:val="left" w:pos="720"/>
        </w:tabs>
        <w:spacing w:after="120"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Recognizing that this may classify a larger proportion of students as needing support, but that is preferable to missing students until third grade.</w:t>
      </w:r>
    </w:p>
    <w:p w14:paraId="1ECE1391" w14:textId="6813CC89" w:rsidR="00667C81" w:rsidRPr="00052840" w:rsidRDefault="00667C81" w:rsidP="00667C81">
      <w:pPr>
        <w:pStyle w:val="Heading3"/>
        <w:spacing w:after="0"/>
        <w:rPr>
          <w:sz w:val="22"/>
          <w:szCs w:val="22"/>
        </w:rPr>
      </w:pPr>
      <w:r w:rsidRPr="00052840">
        <w:rPr>
          <w:sz w:val="22"/>
          <w:szCs w:val="22"/>
        </w:rPr>
        <w:t xml:space="preserve">Action </w:t>
      </w:r>
    </w:p>
    <w:p w14:paraId="14354569" w14:textId="77777777" w:rsidR="00667C81" w:rsidRPr="00052840" w:rsidRDefault="00667C81" w:rsidP="008574DF">
      <w:pPr>
        <w:numPr>
          <w:ilvl w:val="1"/>
          <w:numId w:val="23"/>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Analyze the relationship between screener scores and NSCAS grade 3 ELA performance and reset cut scores to optimize prediction of on</w:t>
      </w:r>
      <w:r w:rsidRPr="00052840">
        <w:rPr>
          <w:rFonts w:eastAsia="Aptos" w:cs="Times New Roman"/>
          <w:kern w:val="2"/>
          <w:sz w:val="22"/>
          <w:szCs w:val="22"/>
          <w14:ligatures w14:val="standardContextual"/>
        </w:rPr>
        <w:noBreakHyphen/>
        <w:t>grade performance.</w:t>
      </w:r>
    </w:p>
    <w:p w14:paraId="5AB492E7" w14:textId="77777777" w:rsidR="00667C81" w:rsidRPr="00052840" w:rsidRDefault="00667C81" w:rsidP="008574DF">
      <w:pPr>
        <w:numPr>
          <w:ilvl w:val="1"/>
          <w:numId w:val="23"/>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Document and publicly explain how cut scores are derived (criterion-based link to summative results rather than just national norms).</w:t>
      </w:r>
    </w:p>
    <w:p w14:paraId="7D40DA08" w14:textId="21E11D2F" w:rsidR="00667C81" w:rsidRPr="00052840" w:rsidRDefault="00667C81" w:rsidP="008574DF">
      <w:pPr>
        <w:numPr>
          <w:ilvl w:val="1"/>
          <w:numId w:val="23"/>
        </w:numPr>
        <w:tabs>
          <w:tab w:val="clear" w:pos="1440"/>
          <w:tab w:val="num" w:pos="720"/>
        </w:tabs>
        <w:spacing w:after="240"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Identify which technical criteria are most critical (e.g., predictive validity, reliability, sensitivity/specificity) when choosing the single screener and setting thresholds.</w:t>
      </w:r>
    </w:p>
    <w:p w14:paraId="6A1E8F8A" w14:textId="5A9A8B8B" w:rsidR="00667C81" w:rsidRPr="00052840" w:rsidRDefault="00667C81" w:rsidP="00667C81">
      <w:pPr>
        <w:pStyle w:val="Heading3"/>
        <w:spacing w:after="0"/>
        <w:rPr>
          <w:sz w:val="22"/>
          <w:szCs w:val="22"/>
        </w:rPr>
      </w:pPr>
      <w:r w:rsidRPr="00052840">
        <w:rPr>
          <w:sz w:val="22"/>
          <w:szCs w:val="22"/>
        </w:rPr>
        <w:t>Implementation, training, and system alignment</w:t>
      </w:r>
    </w:p>
    <w:p w14:paraId="31759160" w14:textId="77777777" w:rsidR="00667C81" w:rsidRPr="00052840" w:rsidRDefault="00667C81" w:rsidP="008574DF">
      <w:pPr>
        <w:numPr>
          <w:ilvl w:val="0"/>
          <w:numId w:val="24"/>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NDE envisions leveraging existing systems (Nebraska MTSS, regional literacy coaches, decision trees) around a single screener to support consistent decision</w:t>
      </w:r>
      <w:r w:rsidRPr="00052840">
        <w:rPr>
          <w:rFonts w:eastAsia="Aptos" w:cs="Times New Roman"/>
          <w:kern w:val="2"/>
          <w:sz w:val="22"/>
          <w:szCs w:val="22"/>
          <w14:ligatures w14:val="standardContextual"/>
        </w:rPr>
        <w:noBreakHyphen/>
        <w:t>making and intervention.</w:t>
      </w:r>
    </w:p>
    <w:p w14:paraId="0656ED77" w14:textId="77777777" w:rsidR="00667C81" w:rsidRPr="00052840" w:rsidRDefault="00667C81" w:rsidP="008574DF">
      <w:pPr>
        <w:numPr>
          <w:ilvl w:val="0"/>
          <w:numId w:val="24"/>
        </w:numPr>
        <w:tabs>
          <w:tab w:val="clear" w:pos="720"/>
          <w:tab w:val="num" w:pos="36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 xml:space="preserve">TAC stresses that, if the statewide screener is not one many </w:t>
      </w:r>
      <w:proofErr w:type="gramStart"/>
      <w:r w:rsidRPr="00052840">
        <w:rPr>
          <w:rFonts w:eastAsia="Aptos" w:cs="Times New Roman"/>
          <w:kern w:val="2"/>
          <w:sz w:val="22"/>
          <w:szCs w:val="22"/>
          <w14:ligatures w14:val="standardContextual"/>
        </w:rPr>
        <w:t>districts</w:t>
      </w:r>
      <w:proofErr w:type="gramEnd"/>
      <w:r w:rsidRPr="00052840">
        <w:rPr>
          <w:rFonts w:eastAsia="Aptos" w:cs="Times New Roman"/>
          <w:kern w:val="2"/>
          <w:sz w:val="22"/>
          <w:szCs w:val="22"/>
          <w14:ligatures w14:val="standardContextual"/>
        </w:rPr>
        <w:t xml:space="preserve"> currently use, robust implementation support (training, multiple formats, ongoing help) is essential.</w:t>
      </w:r>
    </w:p>
    <w:p w14:paraId="4FE09CAF" w14:textId="77777777" w:rsidR="00667C81" w:rsidRPr="00052840" w:rsidRDefault="00667C81" w:rsidP="00C556BC">
      <w:pPr>
        <w:numPr>
          <w:ilvl w:val="0"/>
          <w:numId w:val="24"/>
        </w:numPr>
        <w:tabs>
          <w:tab w:val="clear" w:pos="720"/>
          <w:tab w:val="num" w:pos="360"/>
        </w:tabs>
        <w:spacing w:after="120"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emphasizes that a streamlined system of screeners, diagnostics, and progress monitoring will help NDE provide better policy guidance and resource allocation, regardless of how the legislation evolves.</w:t>
      </w:r>
    </w:p>
    <w:p w14:paraId="76E7D716" w14:textId="6A6A4805" w:rsidR="00667C81" w:rsidRPr="00052840" w:rsidRDefault="00667C81" w:rsidP="00667C81">
      <w:pPr>
        <w:pStyle w:val="Heading3"/>
        <w:spacing w:after="0"/>
        <w:rPr>
          <w:sz w:val="22"/>
          <w:szCs w:val="22"/>
        </w:rPr>
      </w:pPr>
      <w:r w:rsidRPr="00052840">
        <w:rPr>
          <w:sz w:val="22"/>
          <w:szCs w:val="22"/>
        </w:rPr>
        <w:t xml:space="preserve">Action </w:t>
      </w:r>
    </w:p>
    <w:p w14:paraId="4B1BCEB3" w14:textId="77777777" w:rsidR="00667C81" w:rsidRPr="00052840" w:rsidRDefault="00667C81" w:rsidP="008574DF">
      <w:pPr>
        <w:numPr>
          <w:ilvl w:val="1"/>
          <w:numId w:val="25"/>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Seek funding (especially if LB 1050 passes) to cover the statewide screener cost, at least initially, and to provide initial and ongoing training in administration, scoring, and data use.</w:t>
      </w:r>
    </w:p>
    <w:p w14:paraId="04D5887D" w14:textId="77777777" w:rsidR="00667C81" w:rsidRPr="00052840" w:rsidRDefault="00667C81" w:rsidP="008574DF">
      <w:pPr>
        <w:numPr>
          <w:ilvl w:val="1"/>
          <w:numId w:val="25"/>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Develop decision trees and guidance aligned to MTSS showing how to move from screener results to diagnostics, interventions, and progress monitoring.</w:t>
      </w:r>
    </w:p>
    <w:p w14:paraId="0EE1E6A0" w14:textId="77777777" w:rsidR="00667C81" w:rsidRPr="00052840" w:rsidRDefault="00667C81" w:rsidP="008574DF">
      <w:pPr>
        <w:numPr>
          <w:ilvl w:val="1"/>
          <w:numId w:val="25"/>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Offer multiple training formats (regional sessions, virtual modules, coaching) and ensure districts can get timely support during rollout.</w:t>
      </w:r>
    </w:p>
    <w:p w14:paraId="78EBB924" w14:textId="2FC00132" w:rsidR="00667C81" w:rsidRPr="00052840" w:rsidRDefault="00667C81" w:rsidP="008574DF">
      <w:pPr>
        <w:numPr>
          <w:ilvl w:val="1"/>
          <w:numId w:val="25"/>
        </w:numPr>
        <w:tabs>
          <w:tab w:val="clear" w:pos="1440"/>
          <w:tab w:val="num" w:pos="720"/>
        </w:tabs>
        <w:spacing w:after="240"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lastRenderedPageBreak/>
        <w:t>Focus long-term professional learning on data analysis and instructional response, not just test administration.</w:t>
      </w:r>
    </w:p>
    <w:p w14:paraId="29FABEAA" w14:textId="0A59D571" w:rsidR="00667C81" w:rsidRPr="00052840" w:rsidRDefault="002B4681" w:rsidP="002B4681">
      <w:pPr>
        <w:spacing w:line="278" w:lineRule="auto"/>
        <w:rPr>
          <w:rFonts w:eastAsia="Aptos" w:cs="Times New Roman"/>
          <w:b/>
          <w:bCs/>
          <w:kern w:val="2"/>
          <w:sz w:val="22"/>
          <w:szCs w:val="22"/>
          <w14:ligatures w14:val="standardContextual"/>
        </w:rPr>
      </w:pPr>
      <w:r w:rsidRPr="00052840">
        <w:rPr>
          <w:rFonts w:eastAsia="Aptos" w:cs="Times New Roman"/>
          <w:b/>
          <w:bCs/>
          <w:kern w:val="2"/>
          <w:sz w:val="22"/>
          <w:szCs w:val="22"/>
          <w14:ligatures w14:val="standardContextual"/>
        </w:rPr>
        <w:t>Use of screener vs. summative assessment</w:t>
      </w:r>
    </w:p>
    <w:p w14:paraId="13713B41" w14:textId="77777777" w:rsidR="00667C81" w:rsidRPr="00052840" w:rsidRDefault="00667C81" w:rsidP="008574DF">
      <w:pPr>
        <w:numPr>
          <w:ilvl w:val="0"/>
          <w:numId w:val="26"/>
        </w:numPr>
        <w:tabs>
          <w:tab w:val="clear" w:pos="720"/>
          <w:tab w:val="num" w:pos="45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is clear that screeners should remain instructional tools, focused on early identification of foundational skill needs, not high</w:t>
      </w:r>
      <w:r w:rsidRPr="00052840">
        <w:rPr>
          <w:rFonts w:eastAsia="Aptos" w:cs="Times New Roman"/>
          <w:kern w:val="2"/>
          <w:sz w:val="22"/>
          <w:szCs w:val="22"/>
          <w14:ligatures w14:val="standardContextual"/>
        </w:rPr>
        <w:noBreakHyphen/>
        <w:t>stakes promotion instruments.</w:t>
      </w:r>
    </w:p>
    <w:p w14:paraId="79FAE8A1" w14:textId="77777777" w:rsidR="00667C81" w:rsidRPr="00052840" w:rsidRDefault="00667C81" w:rsidP="008574DF">
      <w:pPr>
        <w:numPr>
          <w:ilvl w:val="0"/>
          <w:numId w:val="26"/>
        </w:numPr>
        <w:tabs>
          <w:tab w:val="clear" w:pos="720"/>
          <w:tab w:val="num" w:pos="450"/>
        </w:tabs>
        <w:spacing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 xml:space="preserve">Promotion decisions should primarily reflect whether students have met state ELA standards and are likely to succeed at the next grade, which is best measured with secured, </w:t>
      </w:r>
      <w:proofErr w:type="gramStart"/>
      <w:r w:rsidRPr="00052840">
        <w:rPr>
          <w:rFonts w:eastAsia="Aptos" w:cs="Times New Roman"/>
          <w:kern w:val="2"/>
          <w:sz w:val="22"/>
          <w:szCs w:val="22"/>
          <w14:ligatures w14:val="standardContextual"/>
        </w:rPr>
        <w:t>standards</w:t>
      </w:r>
      <w:r w:rsidRPr="00052840">
        <w:rPr>
          <w:rFonts w:eastAsia="Aptos" w:cs="Times New Roman"/>
          <w:kern w:val="2"/>
          <w:sz w:val="22"/>
          <w:szCs w:val="22"/>
          <w14:ligatures w14:val="standardContextual"/>
        </w:rPr>
        <w:noBreakHyphen/>
      </w:r>
      <w:proofErr w:type="gramEnd"/>
      <w:r w:rsidRPr="00052840">
        <w:rPr>
          <w:rFonts w:eastAsia="Aptos" w:cs="Times New Roman"/>
          <w:kern w:val="2"/>
          <w:sz w:val="22"/>
          <w:szCs w:val="22"/>
          <w14:ligatures w14:val="standardContextual"/>
        </w:rPr>
        <w:t>aligned summative tests.</w:t>
      </w:r>
    </w:p>
    <w:p w14:paraId="29BB5549" w14:textId="77777777" w:rsidR="00667C81" w:rsidRPr="00052840" w:rsidRDefault="00667C81" w:rsidP="00C556BC">
      <w:pPr>
        <w:numPr>
          <w:ilvl w:val="0"/>
          <w:numId w:val="26"/>
        </w:numPr>
        <w:tabs>
          <w:tab w:val="clear" w:pos="720"/>
          <w:tab w:val="num" w:pos="450"/>
        </w:tabs>
        <w:spacing w:after="120" w:line="278" w:lineRule="auto"/>
        <w:ind w:left="36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TAC encourages NDE to keep its role service</w:t>
      </w:r>
      <w:r w:rsidRPr="00052840">
        <w:rPr>
          <w:rFonts w:eastAsia="Aptos" w:cs="Times New Roman"/>
          <w:kern w:val="2"/>
          <w:sz w:val="22"/>
          <w:szCs w:val="22"/>
          <w14:ligatures w14:val="standardContextual"/>
        </w:rPr>
        <w:noBreakHyphen/>
        <w:t>oriented, using a single screener to improve support and coherence, rather than to expand high</w:t>
      </w:r>
      <w:r w:rsidRPr="00052840">
        <w:rPr>
          <w:rFonts w:eastAsia="Aptos" w:cs="Times New Roman"/>
          <w:kern w:val="2"/>
          <w:sz w:val="22"/>
          <w:szCs w:val="22"/>
          <w14:ligatures w14:val="standardContextual"/>
        </w:rPr>
        <w:noBreakHyphen/>
        <w:t>stakes testing for young children.</w:t>
      </w:r>
    </w:p>
    <w:p w14:paraId="12C3A179" w14:textId="335DF990" w:rsidR="00667C81" w:rsidRPr="00052840" w:rsidRDefault="00667C81" w:rsidP="007C4576">
      <w:pPr>
        <w:pStyle w:val="Heading3"/>
        <w:spacing w:after="0"/>
        <w:rPr>
          <w:sz w:val="22"/>
          <w:szCs w:val="22"/>
        </w:rPr>
      </w:pPr>
      <w:r w:rsidRPr="00052840">
        <w:rPr>
          <w:sz w:val="22"/>
          <w:szCs w:val="22"/>
        </w:rPr>
        <w:t>Action points</w:t>
      </w:r>
      <w:r w:rsidR="002B4681" w:rsidRPr="00052840">
        <w:rPr>
          <w:sz w:val="22"/>
          <w:szCs w:val="22"/>
        </w:rPr>
        <w:t xml:space="preserve"> </w:t>
      </w:r>
    </w:p>
    <w:p w14:paraId="504E6A8A" w14:textId="77777777" w:rsidR="00667C81" w:rsidRPr="00052840" w:rsidRDefault="00667C81" w:rsidP="00C556BC">
      <w:pPr>
        <w:numPr>
          <w:ilvl w:val="1"/>
          <w:numId w:val="27"/>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Position the statewide screener explicitly as an instructional/diagnostic component within MTSS.</w:t>
      </w:r>
    </w:p>
    <w:p w14:paraId="6B5A19B4" w14:textId="77777777" w:rsidR="00667C81" w:rsidRPr="00052840" w:rsidRDefault="00667C81" w:rsidP="008574DF">
      <w:pPr>
        <w:numPr>
          <w:ilvl w:val="1"/>
          <w:numId w:val="27"/>
        </w:numPr>
        <w:tabs>
          <w:tab w:val="clear" w:pos="1440"/>
          <w:tab w:val="num" w:pos="720"/>
        </w:tabs>
        <w:spacing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Ensure any promotion/retention policy is grounded in NSCAS ELA and a broader body of evidence, with the screener as an early-warning input, not a gatekeeper.</w:t>
      </w:r>
    </w:p>
    <w:p w14:paraId="7A990BF8" w14:textId="77777777" w:rsidR="00667C81" w:rsidRPr="00052840" w:rsidRDefault="00667C81" w:rsidP="008574DF">
      <w:pPr>
        <w:numPr>
          <w:ilvl w:val="1"/>
          <w:numId w:val="27"/>
        </w:numPr>
        <w:tabs>
          <w:tab w:val="clear" w:pos="1440"/>
          <w:tab w:val="num" w:pos="720"/>
        </w:tabs>
        <w:spacing w:after="160" w:line="278" w:lineRule="auto"/>
        <w:ind w:left="720"/>
        <w:rPr>
          <w:rFonts w:eastAsia="Aptos" w:cs="Times New Roman"/>
          <w:kern w:val="2"/>
          <w:sz w:val="22"/>
          <w:szCs w:val="22"/>
          <w14:ligatures w14:val="standardContextual"/>
        </w:rPr>
      </w:pPr>
      <w:r w:rsidRPr="00052840">
        <w:rPr>
          <w:rFonts w:eastAsia="Aptos" w:cs="Times New Roman"/>
          <w:kern w:val="2"/>
          <w:sz w:val="22"/>
          <w:szCs w:val="22"/>
          <w14:ligatures w14:val="standardContextual"/>
        </w:rPr>
        <w:t xml:space="preserve">Monitor impacts (e.g., numbers identified, intervention access, retention outcomes) and be ready to refine policies, thresholds, and guidance as data </w:t>
      </w:r>
      <w:proofErr w:type="gramStart"/>
      <w:r w:rsidRPr="00052840">
        <w:rPr>
          <w:rFonts w:eastAsia="Aptos" w:cs="Times New Roman"/>
          <w:kern w:val="2"/>
          <w:sz w:val="22"/>
          <w:szCs w:val="22"/>
          <w14:ligatures w14:val="standardContextual"/>
        </w:rPr>
        <w:t>are collected</w:t>
      </w:r>
      <w:proofErr w:type="gramEnd"/>
      <w:r w:rsidRPr="00052840">
        <w:rPr>
          <w:rFonts w:eastAsia="Aptos" w:cs="Times New Roman"/>
          <w:kern w:val="2"/>
          <w:sz w:val="22"/>
          <w:szCs w:val="22"/>
          <w14:ligatures w14:val="standardContextual"/>
        </w:rPr>
        <w:t>.</w:t>
      </w:r>
    </w:p>
    <w:p w14:paraId="6644A2E7" w14:textId="763C9D26" w:rsidR="003B677E" w:rsidRPr="00052840" w:rsidRDefault="003B677E" w:rsidP="003F5B05">
      <w:pPr>
        <w:rPr>
          <w:sz w:val="22"/>
          <w:szCs w:val="22"/>
        </w:rPr>
      </w:pPr>
    </w:p>
    <w:sectPr w:rsidR="003B677E" w:rsidRPr="00052840" w:rsidSect="00BD2F69">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B1C"/>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A45C4"/>
    <w:multiLevelType w:val="multilevel"/>
    <w:tmpl w:val="67A2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14B19"/>
    <w:multiLevelType w:val="hybridMultilevel"/>
    <w:tmpl w:val="8D38F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EF00D6"/>
    <w:multiLevelType w:val="hybridMultilevel"/>
    <w:tmpl w:val="6910E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83B3D"/>
    <w:multiLevelType w:val="multilevel"/>
    <w:tmpl w:val="9048A2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B4A9E"/>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8F6DDF"/>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5F4A8F"/>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691A20"/>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061BDF"/>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79600D"/>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086007"/>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CA4E62"/>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544DC"/>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577967"/>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5E78AF"/>
    <w:multiLevelType w:val="multilevel"/>
    <w:tmpl w:val="5A18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7F5C59"/>
    <w:multiLevelType w:val="multilevel"/>
    <w:tmpl w:val="10FE2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8E0AC0"/>
    <w:multiLevelType w:val="multilevel"/>
    <w:tmpl w:val="2354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310F38"/>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2C3F7C"/>
    <w:multiLevelType w:val="multilevel"/>
    <w:tmpl w:val="5EB8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B53606"/>
    <w:multiLevelType w:val="multilevel"/>
    <w:tmpl w:val="90E6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A13703"/>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CD0B26"/>
    <w:multiLevelType w:val="multilevel"/>
    <w:tmpl w:val="EAE4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D92B84"/>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B53F13"/>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0B341A"/>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4F2239"/>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DE5551"/>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FB3A41"/>
    <w:multiLevelType w:val="multilevel"/>
    <w:tmpl w:val="FBB0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8076347">
    <w:abstractNumId w:val="4"/>
  </w:num>
  <w:num w:numId="2" w16cid:durableId="1523125582">
    <w:abstractNumId w:val="17"/>
  </w:num>
  <w:num w:numId="3" w16cid:durableId="489103640">
    <w:abstractNumId w:val="15"/>
  </w:num>
  <w:num w:numId="4" w16cid:durableId="1155149704">
    <w:abstractNumId w:val="22"/>
  </w:num>
  <w:num w:numId="5" w16cid:durableId="330908517">
    <w:abstractNumId w:val="18"/>
  </w:num>
  <w:num w:numId="6" w16cid:durableId="1854495895">
    <w:abstractNumId w:val="19"/>
  </w:num>
  <w:num w:numId="7" w16cid:durableId="883640024">
    <w:abstractNumId w:val="20"/>
  </w:num>
  <w:num w:numId="8" w16cid:durableId="614098534">
    <w:abstractNumId w:val="1"/>
  </w:num>
  <w:num w:numId="9" w16cid:durableId="1511870579">
    <w:abstractNumId w:val="16"/>
  </w:num>
  <w:num w:numId="10" w16cid:durableId="369572765">
    <w:abstractNumId w:val="23"/>
  </w:num>
  <w:num w:numId="11" w16cid:durableId="1085997672">
    <w:abstractNumId w:val="12"/>
  </w:num>
  <w:num w:numId="12" w16cid:durableId="1196236872">
    <w:abstractNumId w:val="27"/>
  </w:num>
  <w:num w:numId="13" w16cid:durableId="247927839">
    <w:abstractNumId w:val="10"/>
  </w:num>
  <w:num w:numId="14" w16cid:durableId="1145001365">
    <w:abstractNumId w:val="6"/>
  </w:num>
  <w:num w:numId="15" w16cid:durableId="347408378">
    <w:abstractNumId w:val="26"/>
  </w:num>
  <w:num w:numId="16" w16cid:durableId="1615482920">
    <w:abstractNumId w:val="13"/>
  </w:num>
  <w:num w:numId="17" w16cid:durableId="872115296">
    <w:abstractNumId w:val="21"/>
  </w:num>
  <w:num w:numId="18" w16cid:durableId="54747442">
    <w:abstractNumId w:val="9"/>
  </w:num>
  <w:num w:numId="19" w16cid:durableId="1396197360">
    <w:abstractNumId w:val="5"/>
  </w:num>
  <w:num w:numId="20" w16cid:durableId="63376475">
    <w:abstractNumId w:val="7"/>
  </w:num>
  <w:num w:numId="21" w16cid:durableId="872576313">
    <w:abstractNumId w:val="11"/>
  </w:num>
  <w:num w:numId="22" w16cid:durableId="2028360095">
    <w:abstractNumId w:val="25"/>
  </w:num>
  <w:num w:numId="23" w16cid:durableId="867835121">
    <w:abstractNumId w:val="0"/>
  </w:num>
  <w:num w:numId="24" w16cid:durableId="54663533">
    <w:abstractNumId w:val="28"/>
  </w:num>
  <w:num w:numId="25" w16cid:durableId="13651671">
    <w:abstractNumId w:val="8"/>
  </w:num>
  <w:num w:numId="26" w16cid:durableId="1787112324">
    <w:abstractNumId w:val="24"/>
  </w:num>
  <w:num w:numId="27" w16cid:durableId="913048417">
    <w:abstractNumId w:val="14"/>
  </w:num>
  <w:num w:numId="28" w16cid:durableId="100732131">
    <w:abstractNumId w:val="2"/>
  </w:num>
  <w:num w:numId="29" w16cid:durableId="387652272">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8D"/>
    <w:rsid w:val="000008F6"/>
    <w:rsid w:val="00014B01"/>
    <w:rsid w:val="00017A94"/>
    <w:rsid w:val="00017D49"/>
    <w:rsid w:val="00026C1F"/>
    <w:rsid w:val="00052840"/>
    <w:rsid w:val="00055740"/>
    <w:rsid w:val="00057650"/>
    <w:rsid w:val="000738E1"/>
    <w:rsid w:val="000868E9"/>
    <w:rsid w:val="0009662A"/>
    <w:rsid w:val="000A6511"/>
    <w:rsid w:val="000B21D4"/>
    <w:rsid w:val="000B264D"/>
    <w:rsid w:val="000C24E0"/>
    <w:rsid w:val="000D0552"/>
    <w:rsid w:val="000D27F3"/>
    <w:rsid w:val="000D4A85"/>
    <w:rsid w:val="000D51E2"/>
    <w:rsid w:val="000E2EFB"/>
    <w:rsid w:val="000F2113"/>
    <w:rsid w:val="000F6711"/>
    <w:rsid w:val="001109D2"/>
    <w:rsid w:val="00112F36"/>
    <w:rsid w:val="001147A8"/>
    <w:rsid w:val="00125E44"/>
    <w:rsid w:val="00136924"/>
    <w:rsid w:val="001630EE"/>
    <w:rsid w:val="00166E14"/>
    <w:rsid w:val="00172B60"/>
    <w:rsid w:val="00182EF2"/>
    <w:rsid w:val="00185F53"/>
    <w:rsid w:val="00187853"/>
    <w:rsid w:val="001905AD"/>
    <w:rsid w:val="001957AE"/>
    <w:rsid w:val="001965AC"/>
    <w:rsid w:val="001A280C"/>
    <w:rsid w:val="001C3909"/>
    <w:rsid w:val="001C5E79"/>
    <w:rsid w:val="001E0B6C"/>
    <w:rsid w:val="001E4116"/>
    <w:rsid w:val="001F0105"/>
    <w:rsid w:val="001F44F6"/>
    <w:rsid w:val="001F5AC8"/>
    <w:rsid w:val="001F7839"/>
    <w:rsid w:val="00201F79"/>
    <w:rsid w:val="00222BC9"/>
    <w:rsid w:val="00224F36"/>
    <w:rsid w:val="00235406"/>
    <w:rsid w:val="00235A7D"/>
    <w:rsid w:val="002370E0"/>
    <w:rsid w:val="002626A9"/>
    <w:rsid w:val="00263067"/>
    <w:rsid w:val="00263BA9"/>
    <w:rsid w:val="00264F26"/>
    <w:rsid w:val="00270161"/>
    <w:rsid w:val="002B3EE6"/>
    <w:rsid w:val="002B4681"/>
    <w:rsid w:val="002C35EA"/>
    <w:rsid w:val="002C5B7E"/>
    <w:rsid w:val="002E3FDE"/>
    <w:rsid w:val="002E6FC8"/>
    <w:rsid w:val="002E7F52"/>
    <w:rsid w:val="002F352B"/>
    <w:rsid w:val="00300375"/>
    <w:rsid w:val="00301301"/>
    <w:rsid w:val="003267F0"/>
    <w:rsid w:val="00326BE7"/>
    <w:rsid w:val="00335C5B"/>
    <w:rsid w:val="003364BD"/>
    <w:rsid w:val="003415ED"/>
    <w:rsid w:val="00345598"/>
    <w:rsid w:val="00346CC8"/>
    <w:rsid w:val="00377233"/>
    <w:rsid w:val="00380F5A"/>
    <w:rsid w:val="0038536D"/>
    <w:rsid w:val="003863F6"/>
    <w:rsid w:val="003A08EB"/>
    <w:rsid w:val="003A2BA9"/>
    <w:rsid w:val="003A2ECA"/>
    <w:rsid w:val="003A2FB4"/>
    <w:rsid w:val="003B157A"/>
    <w:rsid w:val="003B677E"/>
    <w:rsid w:val="003C03D6"/>
    <w:rsid w:val="003C1ABD"/>
    <w:rsid w:val="003D1D59"/>
    <w:rsid w:val="003D3378"/>
    <w:rsid w:val="003D38B2"/>
    <w:rsid w:val="003E5C3A"/>
    <w:rsid w:val="003F5535"/>
    <w:rsid w:val="003F5B05"/>
    <w:rsid w:val="00401837"/>
    <w:rsid w:val="00414448"/>
    <w:rsid w:val="00423F51"/>
    <w:rsid w:val="0042425D"/>
    <w:rsid w:val="00427369"/>
    <w:rsid w:val="004318AF"/>
    <w:rsid w:val="0043433E"/>
    <w:rsid w:val="00445041"/>
    <w:rsid w:val="004457AC"/>
    <w:rsid w:val="00462C60"/>
    <w:rsid w:val="00474459"/>
    <w:rsid w:val="00475A76"/>
    <w:rsid w:val="00491234"/>
    <w:rsid w:val="00493DAF"/>
    <w:rsid w:val="00494A90"/>
    <w:rsid w:val="004A34C9"/>
    <w:rsid w:val="004A532C"/>
    <w:rsid w:val="004B4379"/>
    <w:rsid w:val="004B567A"/>
    <w:rsid w:val="004B6825"/>
    <w:rsid w:val="004D29B9"/>
    <w:rsid w:val="004E32E8"/>
    <w:rsid w:val="00504498"/>
    <w:rsid w:val="00507BD2"/>
    <w:rsid w:val="005349C7"/>
    <w:rsid w:val="00535314"/>
    <w:rsid w:val="00536597"/>
    <w:rsid w:val="00540CFC"/>
    <w:rsid w:val="00551D30"/>
    <w:rsid w:val="00554618"/>
    <w:rsid w:val="00556B69"/>
    <w:rsid w:val="00574972"/>
    <w:rsid w:val="005B5665"/>
    <w:rsid w:val="005C0C4F"/>
    <w:rsid w:val="005C11B4"/>
    <w:rsid w:val="00611BD1"/>
    <w:rsid w:val="00617F46"/>
    <w:rsid w:val="00624CB3"/>
    <w:rsid w:val="00626C2C"/>
    <w:rsid w:val="00631561"/>
    <w:rsid w:val="0063325A"/>
    <w:rsid w:val="006519CA"/>
    <w:rsid w:val="00663193"/>
    <w:rsid w:val="00667C81"/>
    <w:rsid w:val="006817A9"/>
    <w:rsid w:val="00692CDF"/>
    <w:rsid w:val="006A1A62"/>
    <w:rsid w:val="006A75E4"/>
    <w:rsid w:val="006B5C16"/>
    <w:rsid w:val="006C1EDF"/>
    <w:rsid w:val="006C71DE"/>
    <w:rsid w:val="006E15BA"/>
    <w:rsid w:val="006E2DF1"/>
    <w:rsid w:val="006F14B8"/>
    <w:rsid w:val="006F1514"/>
    <w:rsid w:val="006F76D2"/>
    <w:rsid w:val="006F7D4F"/>
    <w:rsid w:val="00702527"/>
    <w:rsid w:val="0070268B"/>
    <w:rsid w:val="00706B2D"/>
    <w:rsid w:val="00711B23"/>
    <w:rsid w:val="007136F7"/>
    <w:rsid w:val="007151CF"/>
    <w:rsid w:val="00720B7B"/>
    <w:rsid w:val="00733F57"/>
    <w:rsid w:val="007340D5"/>
    <w:rsid w:val="007532B4"/>
    <w:rsid w:val="00760577"/>
    <w:rsid w:val="0076229C"/>
    <w:rsid w:val="007715A6"/>
    <w:rsid w:val="00782A3B"/>
    <w:rsid w:val="00782C20"/>
    <w:rsid w:val="007963A4"/>
    <w:rsid w:val="007A0C5F"/>
    <w:rsid w:val="007B54E7"/>
    <w:rsid w:val="007C0C4C"/>
    <w:rsid w:val="007C4576"/>
    <w:rsid w:val="007D69E0"/>
    <w:rsid w:val="007E2DF1"/>
    <w:rsid w:val="007E7532"/>
    <w:rsid w:val="00806CA7"/>
    <w:rsid w:val="00810099"/>
    <w:rsid w:val="00812FE9"/>
    <w:rsid w:val="00823430"/>
    <w:rsid w:val="00824C67"/>
    <w:rsid w:val="0083269A"/>
    <w:rsid w:val="00837432"/>
    <w:rsid w:val="00840D62"/>
    <w:rsid w:val="00847629"/>
    <w:rsid w:val="0084768D"/>
    <w:rsid w:val="008574DF"/>
    <w:rsid w:val="008854D5"/>
    <w:rsid w:val="008A7745"/>
    <w:rsid w:val="008B2C61"/>
    <w:rsid w:val="008B2E6F"/>
    <w:rsid w:val="008D1652"/>
    <w:rsid w:val="008D79FD"/>
    <w:rsid w:val="008E3AC6"/>
    <w:rsid w:val="008F41D5"/>
    <w:rsid w:val="00906705"/>
    <w:rsid w:val="00916398"/>
    <w:rsid w:val="00925AB4"/>
    <w:rsid w:val="00932088"/>
    <w:rsid w:val="00941EB8"/>
    <w:rsid w:val="00951319"/>
    <w:rsid w:val="00954ACC"/>
    <w:rsid w:val="00960DA5"/>
    <w:rsid w:val="0096687D"/>
    <w:rsid w:val="00970309"/>
    <w:rsid w:val="009909D8"/>
    <w:rsid w:val="009975AF"/>
    <w:rsid w:val="009A0584"/>
    <w:rsid w:val="009E2411"/>
    <w:rsid w:val="009E3F9A"/>
    <w:rsid w:val="009E61F9"/>
    <w:rsid w:val="009E736C"/>
    <w:rsid w:val="00A014DE"/>
    <w:rsid w:val="00A0607C"/>
    <w:rsid w:val="00A31238"/>
    <w:rsid w:val="00A370EE"/>
    <w:rsid w:val="00A740D1"/>
    <w:rsid w:val="00A765EF"/>
    <w:rsid w:val="00A80E33"/>
    <w:rsid w:val="00A8177B"/>
    <w:rsid w:val="00A905B4"/>
    <w:rsid w:val="00A913D6"/>
    <w:rsid w:val="00A933A9"/>
    <w:rsid w:val="00A9673C"/>
    <w:rsid w:val="00AA1937"/>
    <w:rsid w:val="00AA2181"/>
    <w:rsid w:val="00AA41A4"/>
    <w:rsid w:val="00AB1424"/>
    <w:rsid w:val="00AB519F"/>
    <w:rsid w:val="00AC3671"/>
    <w:rsid w:val="00AC7489"/>
    <w:rsid w:val="00AE07E0"/>
    <w:rsid w:val="00AE5E34"/>
    <w:rsid w:val="00AE6957"/>
    <w:rsid w:val="00AF56EB"/>
    <w:rsid w:val="00B158E3"/>
    <w:rsid w:val="00B341ED"/>
    <w:rsid w:val="00B5312F"/>
    <w:rsid w:val="00B54F83"/>
    <w:rsid w:val="00B55E50"/>
    <w:rsid w:val="00B641A6"/>
    <w:rsid w:val="00B6560B"/>
    <w:rsid w:val="00B7021B"/>
    <w:rsid w:val="00B7580F"/>
    <w:rsid w:val="00B84A7B"/>
    <w:rsid w:val="00B91552"/>
    <w:rsid w:val="00B94111"/>
    <w:rsid w:val="00BA2277"/>
    <w:rsid w:val="00BA31BB"/>
    <w:rsid w:val="00BA65CC"/>
    <w:rsid w:val="00BB585B"/>
    <w:rsid w:val="00BD2F69"/>
    <w:rsid w:val="00BD2F97"/>
    <w:rsid w:val="00BE3CF9"/>
    <w:rsid w:val="00BF3767"/>
    <w:rsid w:val="00C024F1"/>
    <w:rsid w:val="00C10EFE"/>
    <w:rsid w:val="00C20104"/>
    <w:rsid w:val="00C25B82"/>
    <w:rsid w:val="00C275FE"/>
    <w:rsid w:val="00C45C02"/>
    <w:rsid w:val="00C47687"/>
    <w:rsid w:val="00C47EEE"/>
    <w:rsid w:val="00C52B2E"/>
    <w:rsid w:val="00C542CD"/>
    <w:rsid w:val="00C556BC"/>
    <w:rsid w:val="00C56C98"/>
    <w:rsid w:val="00C8252D"/>
    <w:rsid w:val="00C97296"/>
    <w:rsid w:val="00CC0CA8"/>
    <w:rsid w:val="00CF208C"/>
    <w:rsid w:val="00D0155F"/>
    <w:rsid w:val="00D06460"/>
    <w:rsid w:val="00D20ACB"/>
    <w:rsid w:val="00D24FEF"/>
    <w:rsid w:val="00D53359"/>
    <w:rsid w:val="00D569E7"/>
    <w:rsid w:val="00D604CB"/>
    <w:rsid w:val="00D70F1A"/>
    <w:rsid w:val="00D772C1"/>
    <w:rsid w:val="00D91FFF"/>
    <w:rsid w:val="00DA5581"/>
    <w:rsid w:val="00DC0C1D"/>
    <w:rsid w:val="00DE3B5B"/>
    <w:rsid w:val="00DF0B81"/>
    <w:rsid w:val="00DF56C2"/>
    <w:rsid w:val="00E06EA4"/>
    <w:rsid w:val="00E1287F"/>
    <w:rsid w:val="00E41FF8"/>
    <w:rsid w:val="00E5775D"/>
    <w:rsid w:val="00E60855"/>
    <w:rsid w:val="00E634D6"/>
    <w:rsid w:val="00E76B46"/>
    <w:rsid w:val="00E90D28"/>
    <w:rsid w:val="00E96F5A"/>
    <w:rsid w:val="00EA0EC1"/>
    <w:rsid w:val="00EA4D1D"/>
    <w:rsid w:val="00EA5079"/>
    <w:rsid w:val="00EA6536"/>
    <w:rsid w:val="00EB38DA"/>
    <w:rsid w:val="00EC1094"/>
    <w:rsid w:val="00EC4D25"/>
    <w:rsid w:val="00EC5466"/>
    <w:rsid w:val="00ED2E91"/>
    <w:rsid w:val="00ED3AC7"/>
    <w:rsid w:val="00ED4E87"/>
    <w:rsid w:val="00ED715E"/>
    <w:rsid w:val="00EF3B34"/>
    <w:rsid w:val="00EF62E3"/>
    <w:rsid w:val="00EF7DB1"/>
    <w:rsid w:val="00F01353"/>
    <w:rsid w:val="00F24018"/>
    <w:rsid w:val="00F3583C"/>
    <w:rsid w:val="00F37778"/>
    <w:rsid w:val="00F52D8D"/>
    <w:rsid w:val="00F627E8"/>
    <w:rsid w:val="00F701BB"/>
    <w:rsid w:val="00F70BCC"/>
    <w:rsid w:val="00F84E47"/>
    <w:rsid w:val="00F94312"/>
    <w:rsid w:val="00F973C0"/>
    <w:rsid w:val="00FA54AB"/>
    <w:rsid w:val="00FB1A53"/>
    <w:rsid w:val="00FB34EC"/>
    <w:rsid w:val="00FB3A28"/>
    <w:rsid w:val="00FC0407"/>
    <w:rsid w:val="00FC3F44"/>
    <w:rsid w:val="00FC6C28"/>
    <w:rsid w:val="00FE1508"/>
    <w:rsid w:val="00FE6096"/>
    <w:rsid w:val="00FF21F2"/>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EAA0"/>
  <w15:chartTrackingRefBased/>
  <w15:docId w15:val="{1A48EAB6-59AD-4644-BBC3-ED7A1349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64D"/>
    <w:pPr>
      <w:spacing w:after="0"/>
    </w:pPr>
    <w:rPr>
      <w:rFonts w:ascii="Aptos" w:hAnsi="Aptos"/>
      <w:sz w:val="24"/>
      <w:szCs w:val="24"/>
    </w:rPr>
  </w:style>
  <w:style w:type="paragraph" w:styleId="Heading1">
    <w:name w:val="heading 1"/>
    <w:basedOn w:val="Normal"/>
    <w:next w:val="Normal"/>
    <w:link w:val="Heading1Char"/>
    <w:uiPriority w:val="9"/>
    <w:qFormat/>
    <w:rsid w:val="000B264D"/>
    <w:pPr>
      <w:spacing w:after="120" w:line="240" w:lineRule="auto"/>
      <w:outlineLvl w:val="0"/>
    </w:pPr>
    <w:rPr>
      <w:rFonts w:ascii="Aptos Black" w:hAnsi="Aptos Black" w:cs="Times New Roman"/>
      <w:b/>
      <w:bCs/>
      <w:sz w:val="28"/>
      <w:szCs w:val="28"/>
    </w:rPr>
  </w:style>
  <w:style w:type="paragraph" w:styleId="Heading2">
    <w:name w:val="heading 2"/>
    <w:basedOn w:val="Normal"/>
    <w:next w:val="Normal"/>
    <w:link w:val="Heading2Char"/>
    <w:uiPriority w:val="9"/>
    <w:unhideWhenUsed/>
    <w:qFormat/>
    <w:rsid w:val="003F5B05"/>
    <w:pPr>
      <w:spacing w:line="240" w:lineRule="auto"/>
      <w:outlineLvl w:val="1"/>
    </w:pPr>
    <w:rPr>
      <w:rFonts w:ascii="Aptos Display" w:hAnsi="Aptos Display" w:cs="Times New Roman"/>
      <w:b/>
      <w:bCs/>
      <w:sz w:val="26"/>
      <w:szCs w:val="26"/>
    </w:rPr>
  </w:style>
  <w:style w:type="paragraph" w:styleId="Heading3">
    <w:name w:val="heading 3"/>
    <w:basedOn w:val="Normal"/>
    <w:next w:val="Normal"/>
    <w:link w:val="Heading3Char"/>
    <w:uiPriority w:val="9"/>
    <w:unhideWhenUsed/>
    <w:qFormat/>
    <w:rsid w:val="0063325A"/>
    <w:pPr>
      <w:spacing w:after="120"/>
      <w:outlineLvl w:val="2"/>
    </w:pPr>
    <w:rPr>
      <w:rFonts w:ascii="Aptos Display" w:hAnsi="Aptos Display"/>
      <w:b/>
      <w:bCs/>
      <w:i/>
      <w:iCs/>
    </w:rPr>
  </w:style>
  <w:style w:type="paragraph" w:styleId="Heading4">
    <w:name w:val="heading 4"/>
    <w:basedOn w:val="Normal"/>
    <w:next w:val="Normal"/>
    <w:link w:val="Heading4Char"/>
    <w:uiPriority w:val="9"/>
    <w:unhideWhenUsed/>
    <w:qFormat/>
    <w:rsid w:val="006817A9"/>
    <w:pPr>
      <w:spacing w:line="240" w:lineRule="auto"/>
      <w:outlineLvl w:val="3"/>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52B"/>
    <w:pPr>
      <w:ind w:left="720"/>
      <w:contextualSpacing/>
    </w:pPr>
  </w:style>
  <w:style w:type="paragraph" w:customStyle="1" w:styleId="elementtoproof">
    <w:name w:val="elementtoproof"/>
    <w:basedOn w:val="Normal"/>
    <w:rsid w:val="00617F46"/>
    <w:pPr>
      <w:spacing w:line="240" w:lineRule="auto"/>
    </w:pPr>
    <w:rPr>
      <w:rFonts w:cs="Aptos"/>
    </w:rPr>
  </w:style>
  <w:style w:type="character" w:styleId="Hyperlink">
    <w:name w:val="Hyperlink"/>
    <w:basedOn w:val="DefaultParagraphFont"/>
    <w:uiPriority w:val="99"/>
    <w:unhideWhenUsed/>
    <w:rsid w:val="00C542CD"/>
    <w:rPr>
      <w:color w:val="0563C1" w:themeColor="hyperlink"/>
      <w:u w:val="single"/>
    </w:rPr>
  </w:style>
  <w:style w:type="character" w:customStyle="1" w:styleId="Heading1Char">
    <w:name w:val="Heading 1 Char"/>
    <w:basedOn w:val="DefaultParagraphFont"/>
    <w:link w:val="Heading1"/>
    <w:uiPriority w:val="9"/>
    <w:rsid w:val="000B264D"/>
    <w:rPr>
      <w:rFonts w:ascii="Aptos Black" w:hAnsi="Aptos Black" w:cs="Times New Roman"/>
      <w:b/>
      <w:bCs/>
      <w:sz w:val="28"/>
      <w:szCs w:val="28"/>
    </w:rPr>
  </w:style>
  <w:style w:type="character" w:customStyle="1" w:styleId="Heading2Char">
    <w:name w:val="Heading 2 Char"/>
    <w:basedOn w:val="DefaultParagraphFont"/>
    <w:link w:val="Heading2"/>
    <w:uiPriority w:val="9"/>
    <w:rsid w:val="003F5B05"/>
    <w:rPr>
      <w:rFonts w:ascii="Aptos Display" w:hAnsi="Aptos Display" w:cs="Times New Roman"/>
      <w:b/>
      <w:bCs/>
      <w:sz w:val="26"/>
      <w:szCs w:val="26"/>
    </w:rPr>
  </w:style>
  <w:style w:type="character" w:customStyle="1" w:styleId="Heading3Char">
    <w:name w:val="Heading 3 Char"/>
    <w:basedOn w:val="DefaultParagraphFont"/>
    <w:link w:val="Heading3"/>
    <w:uiPriority w:val="9"/>
    <w:rsid w:val="0063325A"/>
    <w:rPr>
      <w:rFonts w:ascii="Aptos Display" w:hAnsi="Aptos Display"/>
      <w:b/>
      <w:bCs/>
      <w:i/>
      <w:iCs/>
      <w:sz w:val="24"/>
      <w:szCs w:val="24"/>
    </w:rPr>
  </w:style>
  <w:style w:type="character" w:customStyle="1" w:styleId="Heading4Char">
    <w:name w:val="Heading 4 Char"/>
    <w:basedOn w:val="DefaultParagraphFont"/>
    <w:link w:val="Heading4"/>
    <w:uiPriority w:val="9"/>
    <w:rsid w:val="006817A9"/>
    <w:rPr>
      <w:rFonts w:ascii="Times New Roman" w:hAnsi="Times New Roman" w:cs="Times New Roman"/>
      <w:b/>
      <w:bCs/>
      <w:i/>
      <w:iCs/>
      <w:sz w:val="24"/>
      <w:szCs w:val="24"/>
    </w:rPr>
  </w:style>
  <w:style w:type="table" w:styleId="TableGrid">
    <w:name w:val="Table Grid"/>
    <w:basedOn w:val="TableNormal"/>
    <w:uiPriority w:val="39"/>
    <w:rsid w:val="000B2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74293">
      <w:bodyDiv w:val="1"/>
      <w:marLeft w:val="0"/>
      <w:marRight w:val="0"/>
      <w:marTop w:val="0"/>
      <w:marBottom w:val="0"/>
      <w:divBdr>
        <w:top w:val="none" w:sz="0" w:space="0" w:color="auto"/>
        <w:left w:val="none" w:sz="0" w:space="0" w:color="auto"/>
        <w:bottom w:val="none" w:sz="0" w:space="0" w:color="auto"/>
        <w:right w:val="none" w:sz="0" w:space="0" w:color="auto"/>
      </w:divBdr>
    </w:div>
    <w:div w:id="17706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Trudy</dc:creator>
  <cp:keywords/>
  <dc:description/>
  <cp:lastModifiedBy>Clark, Trudy</cp:lastModifiedBy>
  <cp:revision>23</cp:revision>
  <cp:lastPrinted>2026-06-11T14:25:00Z</cp:lastPrinted>
  <dcterms:created xsi:type="dcterms:W3CDTF">2026-06-11T14:26:00Z</dcterms:created>
  <dcterms:modified xsi:type="dcterms:W3CDTF">2026-06-15T12:44:00Z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f96f3-febb-4d97-abce-da8759adbf29_Enabled">
    <vt:lpwstr>true</vt:lpwstr>
  </property>
  <property fmtid="{D5CDD505-2E9C-101B-9397-08002B2CF9AE}" pid="3" name="MSIP_Label_7aff96f3-febb-4d97-abce-da8759adbf29_SetDate">
    <vt:lpwstr>2026-04-08T16:53:59Z</vt:lpwstr>
  </property>
  <property fmtid="{D5CDD505-2E9C-101B-9397-08002B2CF9AE}" pid="4" name="MSIP_Label_7aff96f3-febb-4d97-abce-da8759adbf29_Method">
    <vt:lpwstr>Standard</vt:lpwstr>
  </property>
  <property fmtid="{D5CDD505-2E9C-101B-9397-08002B2CF9AE}" pid="5" name="MSIP_Label_7aff96f3-febb-4d97-abce-da8759adbf29_Name">
    <vt:lpwstr>Confidential</vt:lpwstr>
  </property>
  <property fmtid="{D5CDD505-2E9C-101B-9397-08002B2CF9AE}" pid="6" name="MSIP_Label_7aff96f3-febb-4d97-abce-da8759adbf29_SiteId">
    <vt:lpwstr>9981678a-3c4d-40f7-9624-f41a08565121</vt:lpwstr>
  </property>
  <property fmtid="{D5CDD505-2E9C-101B-9397-08002B2CF9AE}" pid="7" name="MSIP_Label_7aff96f3-febb-4d97-abce-da8759adbf29_ActionId">
    <vt:lpwstr>8cb499a3-bea7-49a5-83f4-867f20c0fa83</vt:lpwstr>
  </property>
  <property fmtid="{D5CDD505-2E9C-101B-9397-08002B2CF9AE}" pid="8" name="MSIP_Label_7aff96f3-febb-4d97-abce-da8759adbf29_ContentBits">
    <vt:lpwstr>0</vt:lpwstr>
  </property>
  <property fmtid="{D5CDD505-2E9C-101B-9397-08002B2CF9AE}" pid="9" name="MSIP_Label_7aff96f3-febb-4d97-abce-da8759adbf29_Tag">
    <vt:lpwstr>10, 3, 0, 1</vt:lpwstr>
  </property>
</Properties>
</file>