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25" w:rsidRDefault="002A2B70">
      <w:pPr>
        <w:rPr>
          <w:sz w:val="36"/>
          <w:szCs w:val="36"/>
        </w:rPr>
      </w:pPr>
      <w:bookmarkStart w:id="0" w:name="_GoBack"/>
      <w:bookmarkEnd w:id="0"/>
      <w:r>
        <w:rPr>
          <w:b/>
          <w:sz w:val="36"/>
          <w:szCs w:val="36"/>
        </w:rPr>
        <w:t>Alliance Public</w:t>
      </w:r>
      <w:r>
        <w:rPr>
          <w:b/>
          <w:sz w:val="36"/>
          <w:szCs w:val="36"/>
        </w:rPr>
        <w:t xml:space="preserve"> </w:t>
      </w:r>
      <w:r>
        <w:rPr>
          <w:b/>
          <w:sz w:val="36"/>
          <w:szCs w:val="36"/>
        </w:rPr>
        <w:t>Schools</w:t>
      </w:r>
      <w:r>
        <w:rPr>
          <w:noProof/>
        </w:rPr>
        <w:drawing>
          <wp:anchor distT="0" distB="0" distL="0" distR="0" simplePos="0" relativeHeight="251658240" behindDoc="0" locked="0" layoutInCell="1" hidden="0" allowOverlap="1">
            <wp:simplePos x="0" y="0"/>
            <wp:positionH relativeFrom="column">
              <wp:posOffset>2409825</wp:posOffset>
            </wp:positionH>
            <wp:positionV relativeFrom="paragraph">
              <wp:posOffset>0</wp:posOffset>
            </wp:positionV>
            <wp:extent cx="1742713" cy="1216343"/>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742713" cy="1216343"/>
                    </a:xfrm>
                    <a:prstGeom prst="rect">
                      <a:avLst/>
                    </a:prstGeom>
                    <a:ln/>
                  </pic:spPr>
                </pic:pic>
              </a:graphicData>
            </a:graphic>
          </wp:anchor>
        </w:drawing>
      </w:r>
    </w:p>
    <w:p w:rsidR="00206525" w:rsidRDefault="002A2B70">
      <w:pPr>
        <w:rPr>
          <w:sz w:val="28"/>
          <w:szCs w:val="28"/>
        </w:rPr>
      </w:pPr>
      <w:r>
        <w:rPr>
          <w:b/>
          <w:sz w:val="28"/>
          <w:szCs w:val="28"/>
        </w:rPr>
        <w:t xml:space="preserve"> </w:t>
      </w:r>
      <w:r>
        <w:rPr>
          <w:b/>
          <w:sz w:val="28"/>
          <w:szCs w:val="28"/>
        </w:rPr>
        <w:t>Emerson</w:t>
      </w:r>
      <w:r>
        <w:rPr>
          <w:b/>
          <w:sz w:val="28"/>
          <w:szCs w:val="28"/>
        </w:rPr>
        <w:t xml:space="preserve"> Elementary</w:t>
      </w:r>
      <w:r>
        <w:rPr>
          <w:sz w:val="28"/>
          <w:szCs w:val="28"/>
        </w:rPr>
        <w:t xml:space="preserve"> </w:t>
      </w:r>
      <w:r>
        <w:rPr>
          <w:b/>
          <w:sz w:val="28"/>
          <w:szCs w:val="28"/>
        </w:rPr>
        <w:t>School</w:t>
      </w:r>
    </w:p>
    <w:p w:rsidR="00206525" w:rsidRDefault="002A2B70">
      <w:pPr>
        <w:rPr>
          <w:sz w:val="28"/>
          <w:szCs w:val="28"/>
        </w:rPr>
      </w:pPr>
      <w:r>
        <w:rPr>
          <w:b/>
          <w:sz w:val="28"/>
          <w:szCs w:val="28"/>
        </w:rPr>
        <w:t xml:space="preserve">        1604 Sweetwater</w:t>
      </w:r>
      <w:r>
        <w:rPr>
          <w:noProof/>
        </w:rPr>
        <mc:AlternateContent>
          <mc:Choice Requires="wpg">
            <w:drawing>
              <wp:anchor distT="0" distB="0" distL="114300" distR="114300" simplePos="0" relativeHeight="251659264" behindDoc="0" locked="0" layoutInCell="1" hidden="0" allowOverlap="1">
                <wp:simplePos x="0" y="0"/>
                <wp:positionH relativeFrom="column">
                  <wp:posOffset>3060700</wp:posOffset>
                </wp:positionH>
                <wp:positionV relativeFrom="paragraph">
                  <wp:posOffset>50800</wp:posOffset>
                </wp:positionV>
                <wp:extent cx="2952750" cy="607640"/>
                <wp:effectExtent l="0" t="0" r="0" b="0"/>
                <wp:wrapNone/>
                <wp:docPr id="2" name=""/>
                <wp:cNvGraphicFramePr/>
                <a:graphic xmlns:a="http://schemas.openxmlformats.org/drawingml/2006/main">
                  <a:graphicData uri="http://schemas.microsoft.com/office/word/2010/wordprocessingShape">
                    <wps:wsp>
                      <wps:cNvSpPr/>
                      <wps:spPr>
                        <a:xfrm>
                          <a:off x="3874388" y="3518063"/>
                          <a:ext cx="2943225" cy="523875"/>
                        </a:xfrm>
                        <a:prstGeom prst="rect">
                          <a:avLst/>
                        </a:prstGeom>
                        <a:noFill/>
                        <a:ln>
                          <a:noFill/>
                        </a:ln>
                      </wps:spPr>
                      <wps:txbx>
                        <w:txbxContent>
                          <w:p w:rsidR="00206525" w:rsidRDefault="002A2B70">
                            <w:pPr>
                              <w:jc w:val="right"/>
                              <w:textDirection w:val="btLr"/>
                            </w:pPr>
                            <w:r>
                              <w:rPr>
                                <w:rFonts w:ascii="Arial" w:eastAsia="Arial" w:hAnsi="Arial" w:cs="Arial"/>
                                <w:color w:val="000000"/>
                              </w:rPr>
                              <w:t>________________ Principal</w:t>
                            </w:r>
                          </w:p>
                          <w:p w:rsidR="00206525" w:rsidRDefault="002A2B70">
                            <w:pPr>
                              <w:jc w:val="right"/>
                              <w:textDirection w:val="btLr"/>
                            </w:pPr>
                            <w:r>
                              <w:rPr>
                                <w:rFonts w:ascii="Arial" w:eastAsia="Arial" w:hAnsi="Arial" w:cs="Arial"/>
                                <w:color w:val="000000"/>
                              </w:rPr>
                              <w:t>(308)762-4093</w:t>
                            </w:r>
                          </w:p>
                          <w:p w:rsidR="00206525" w:rsidRDefault="00206525">
                            <w:pPr>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50800</wp:posOffset>
                </wp:positionV>
                <wp:extent cx="2952750" cy="60764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52750" cy="607640"/>
                        </a:xfrm>
                        <a:prstGeom prst="rect"/>
                        <a:ln/>
                      </pic:spPr>
                    </pic:pic>
                  </a:graphicData>
                </a:graphic>
              </wp:anchor>
            </w:drawing>
          </mc:Fallback>
        </mc:AlternateContent>
      </w:r>
    </w:p>
    <w:p w:rsidR="00206525" w:rsidRDefault="002A2B70">
      <w:pPr>
        <w:rPr>
          <w:sz w:val="28"/>
          <w:szCs w:val="28"/>
        </w:rPr>
      </w:pPr>
      <w:r>
        <w:rPr>
          <w:b/>
          <w:sz w:val="28"/>
          <w:szCs w:val="28"/>
        </w:rPr>
        <w:t xml:space="preserve">      Alliance, NE 69301</w:t>
      </w:r>
    </w:p>
    <w:p w:rsidR="00206525" w:rsidRDefault="002A2B70">
      <w:r>
        <w:rPr>
          <w:b/>
          <w:sz w:val="28"/>
          <w:szCs w:val="28"/>
        </w:rPr>
        <w:t xml:space="preserve">         </w:t>
      </w:r>
      <w:r>
        <w:rPr>
          <w:b/>
          <w:sz w:val="28"/>
          <w:szCs w:val="28"/>
        </w:rPr>
        <w:tab/>
      </w:r>
      <w:r>
        <w:rPr>
          <w:b/>
          <w:sz w:val="28"/>
          <w:szCs w:val="28"/>
        </w:rPr>
        <w:tab/>
      </w:r>
    </w:p>
    <w:p w:rsidR="00206525" w:rsidRDefault="002A2B70">
      <w:pPr>
        <w:jc w:val="right"/>
      </w:pPr>
      <w:r>
        <w:rPr>
          <w:i/>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50800</wp:posOffset>
                </wp:positionV>
                <wp:extent cx="6010275" cy="457835"/>
                <wp:effectExtent l="0" t="0" r="0" b="0"/>
                <wp:wrapNone/>
                <wp:docPr id="1" name=""/>
                <wp:cNvGraphicFramePr/>
                <a:graphic xmlns:a="http://schemas.openxmlformats.org/drawingml/2006/main">
                  <a:graphicData uri="http://schemas.microsoft.com/office/word/2010/wordprocessingShape">
                    <wps:wsp>
                      <wps:cNvSpPr/>
                      <wps:spPr>
                        <a:xfrm>
                          <a:off x="2345625" y="3555845"/>
                          <a:ext cx="6000750" cy="448310"/>
                        </a:xfrm>
                        <a:prstGeom prst="rect">
                          <a:avLst/>
                        </a:prstGeom>
                        <a:solidFill>
                          <a:srgbClr val="FFFFFF"/>
                        </a:solidFill>
                        <a:ln>
                          <a:noFill/>
                        </a:ln>
                      </wps:spPr>
                      <wps:txbx>
                        <w:txbxContent>
                          <w:p w:rsidR="00206525" w:rsidRDefault="002A2B70">
                            <w:pPr>
                              <w:textDirection w:val="btLr"/>
                            </w:pPr>
                            <w:r>
                              <w:rPr>
                                <w:rFonts w:ascii="Arial" w:eastAsia="Arial" w:hAnsi="Arial" w:cs="Arial"/>
                                <w:i/>
                                <w:color w:val="000000"/>
                              </w:rPr>
                              <w:t>APS Mission: “To develop in all students the individual skills, the desire for knowledge, and the personal commitment essential for a successful future.”</w:t>
                            </w:r>
                          </w:p>
                          <w:p w:rsidR="00206525" w:rsidRDefault="0020652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6010275" cy="45783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10275" cy="457835"/>
                        </a:xfrm>
                        <a:prstGeom prst="rect"/>
                        <a:ln/>
                      </pic:spPr>
                    </pic:pic>
                  </a:graphicData>
                </a:graphic>
              </wp:anchor>
            </w:drawing>
          </mc:Fallback>
        </mc:AlternateContent>
      </w:r>
    </w:p>
    <w:p w:rsidR="00206525" w:rsidRDefault="00206525">
      <w:pPr>
        <w:jc w:val="right"/>
      </w:pPr>
    </w:p>
    <w:p w:rsidR="00206525" w:rsidRDefault="002A2B70">
      <w:pPr>
        <w:pBdr>
          <w:bottom w:val="single" w:sz="12" w:space="1" w:color="000000"/>
        </w:pBdr>
        <w:jc w:val="right"/>
      </w:pPr>
      <w:r>
        <w:tab/>
      </w:r>
    </w:p>
    <w:p w:rsidR="00206525" w:rsidRDefault="00206525">
      <w:pPr>
        <w:rPr>
          <w:sz w:val="32"/>
          <w:szCs w:val="32"/>
        </w:rPr>
      </w:pPr>
    </w:p>
    <w:p w:rsidR="00206525" w:rsidRDefault="002A2B70">
      <w:pPr>
        <w:pBdr>
          <w:top w:val="nil"/>
          <w:left w:val="nil"/>
          <w:bottom w:val="nil"/>
          <w:right w:val="nil"/>
          <w:between w:val="nil"/>
        </w:pBdr>
        <w:shd w:val="clear" w:color="auto" w:fill="FFFFFF"/>
        <w:ind w:right="307"/>
        <w:jc w:val="both"/>
        <w:rPr>
          <w:rFonts w:ascii="Arial" w:eastAsia="Arial" w:hAnsi="Arial" w:cs="Arial"/>
          <w:color w:val="000000"/>
          <w:sz w:val="22"/>
          <w:szCs w:val="22"/>
        </w:rPr>
      </w:pPr>
      <w:r>
        <w:rPr>
          <w:color w:val="000000"/>
          <w:sz w:val="28"/>
          <w:szCs w:val="28"/>
        </w:rPr>
        <w:t>D</w:t>
      </w:r>
      <w:r>
        <w:rPr>
          <w:rFonts w:ascii="Arial" w:eastAsia="Arial" w:hAnsi="Arial" w:cs="Arial"/>
          <w:color w:val="000000"/>
          <w:sz w:val="22"/>
          <w:szCs w:val="22"/>
        </w:rPr>
        <w:t>ear Parent/Guardian:</w:t>
      </w:r>
    </w:p>
    <w:p w:rsidR="00206525" w:rsidRDefault="00206525">
      <w:pPr>
        <w:pBdr>
          <w:top w:val="nil"/>
          <w:left w:val="nil"/>
          <w:bottom w:val="nil"/>
          <w:right w:val="nil"/>
          <w:between w:val="nil"/>
        </w:pBdr>
        <w:shd w:val="clear" w:color="auto" w:fill="FFFFFF"/>
        <w:ind w:right="307"/>
        <w:jc w:val="both"/>
        <w:rPr>
          <w:rFonts w:ascii="Arial" w:eastAsia="Arial" w:hAnsi="Arial" w:cs="Arial"/>
          <w:color w:val="000000"/>
          <w:sz w:val="22"/>
          <w:szCs w:val="22"/>
        </w:rPr>
      </w:pPr>
    </w:p>
    <w:p w:rsidR="00206525" w:rsidRDefault="002A2B70">
      <w:pPr>
        <w:pBdr>
          <w:top w:val="nil"/>
          <w:left w:val="nil"/>
          <w:bottom w:val="nil"/>
          <w:right w:val="nil"/>
          <w:between w:val="nil"/>
        </w:pBdr>
        <w:shd w:val="clear" w:color="auto" w:fill="FFFFFF"/>
        <w:ind w:right="307"/>
        <w:jc w:val="both"/>
        <w:rPr>
          <w:rFonts w:ascii="Arial" w:eastAsia="Arial" w:hAnsi="Arial" w:cs="Arial"/>
          <w:color w:val="000000"/>
          <w:sz w:val="22"/>
          <w:szCs w:val="22"/>
        </w:rPr>
      </w:pPr>
      <w:r>
        <w:rPr>
          <w:rFonts w:ascii="Arial" w:eastAsia="Arial" w:hAnsi="Arial" w:cs="Arial"/>
          <w:color w:val="000000"/>
          <w:sz w:val="22"/>
          <w:szCs w:val="22"/>
        </w:rPr>
        <w:t xml:space="preserve">In Alliance Public Schools, we recognize that early reading skills are strong predictors of lifelong academic success for our students. Our teachers dedicate significant instructional time to supporting students in developing literacy skills. In addition, </w:t>
      </w:r>
      <w:r>
        <w:rPr>
          <w:rFonts w:ascii="Arial" w:eastAsia="Arial" w:hAnsi="Arial" w:cs="Arial"/>
          <w:color w:val="000000"/>
          <w:sz w:val="22"/>
          <w:szCs w:val="22"/>
        </w:rPr>
        <w:t xml:space="preserve">we have numerous school and district level supports in place, including the following: </w:t>
      </w:r>
    </w:p>
    <w:p w:rsidR="00206525" w:rsidRDefault="002A2B70">
      <w:pPr>
        <w:pBdr>
          <w:top w:val="nil"/>
          <w:left w:val="nil"/>
          <w:bottom w:val="nil"/>
          <w:right w:val="nil"/>
          <w:between w:val="nil"/>
        </w:pBdr>
        <w:shd w:val="clear" w:color="auto" w:fill="FFFFFF"/>
        <w:ind w:left="360" w:right="4862"/>
        <w:rPr>
          <w:rFonts w:ascii="Arial" w:eastAsia="Arial" w:hAnsi="Arial" w:cs="Arial"/>
          <w:color w:val="000000"/>
          <w:sz w:val="22"/>
          <w:szCs w:val="22"/>
        </w:rPr>
      </w:pPr>
      <w:r>
        <w:rPr>
          <w:rFonts w:ascii="Arial" w:eastAsia="Arial" w:hAnsi="Arial" w:cs="Arial"/>
          <w:color w:val="000000"/>
          <w:sz w:val="22"/>
          <w:szCs w:val="22"/>
        </w:rPr>
        <w:t xml:space="preserve">● High quality curriculum for all students </w:t>
      </w:r>
    </w:p>
    <w:p w:rsidR="00206525" w:rsidRDefault="002A2B70">
      <w:pPr>
        <w:pBdr>
          <w:top w:val="nil"/>
          <w:left w:val="nil"/>
          <w:bottom w:val="nil"/>
          <w:right w:val="nil"/>
          <w:between w:val="nil"/>
        </w:pBdr>
        <w:shd w:val="clear" w:color="auto" w:fill="FFFFFF"/>
        <w:ind w:left="360" w:right="5121"/>
        <w:rPr>
          <w:rFonts w:ascii="Arial" w:eastAsia="Arial" w:hAnsi="Arial" w:cs="Arial"/>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Highly</w:t>
      </w:r>
      <w:proofErr w:type="gramEnd"/>
      <w:r>
        <w:rPr>
          <w:rFonts w:ascii="Arial" w:eastAsia="Arial" w:hAnsi="Arial" w:cs="Arial"/>
          <w:color w:val="000000"/>
          <w:sz w:val="22"/>
          <w:szCs w:val="22"/>
        </w:rPr>
        <w:t xml:space="preserve"> qualified classroom teachers</w:t>
      </w:r>
    </w:p>
    <w:p w:rsidR="00206525" w:rsidRDefault="002A2B70">
      <w:pPr>
        <w:pBdr>
          <w:top w:val="nil"/>
          <w:left w:val="nil"/>
          <w:bottom w:val="nil"/>
          <w:right w:val="nil"/>
          <w:between w:val="nil"/>
        </w:pBdr>
        <w:shd w:val="clear" w:color="auto" w:fill="FFFFFF"/>
        <w:ind w:left="360" w:right="3407"/>
        <w:rPr>
          <w:rFonts w:ascii="Arial" w:eastAsia="Arial" w:hAnsi="Arial" w:cs="Arial"/>
          <w:color w:val="000000"/>
          <w:sz w:val="22"/>
          <w:szCs w:val="22"/>
        </w:rPr>
      </w:pPr>
      <w:r>
        <w:rPr>
          <w:rFonts w:ascii="Arial" w:eastAsia="Arial" w:hAnsi="Arial" w:cs="Arial"/>
          <w:color w:val="000000"/>
          <w:sz w:val="22"/>
          <w:szCs w:val="22"/>
        </w:rPr>
        <w:t xml:space="preserve">● Regular assessments of each child’s reading progress </w:t>
      </w:r>
    </w:p>
    <w:p w:rsidR="00206525" w:rsidRDefault="002A2B70">
      <w:pPr>
        <w:pBdr>
          <w:top w:val="nil"/>
          <w:left w:val="nil"/>
          <w:bottom w:val="nil"/>
          <w:right w:val="nil"/>
          <w:between w:val="nil"/>
        </w:pBdr>
        <w:shd w:val="clear" w:color="auto" w:fill="FFFFFF"/>
        <w:ind w:left="360" w:right="1972"/>
        <w:rPr>
          <w:rFonts w:ascii="Arial" w:eastAsia="Arial" w:hAnsi="Arial" w:cs="Arial"/>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xml:space="preserve"> comprehensive MTSS process that includes a multi-tiered system </w:t>
      </w:r>
    </w:p>
    <w:p w:rsidR="00206525" w:rsidRDefault="002A2B70">
      <w:pPr>
        <w:pBdr>
          <w:top w:val="nil"/>
          <w:left w:val="nil"/>
          <w:bottom w:val="nil"/>
          <w:right w:val="nil"/>
          <w:between w:val="nil"/>
        </w:pBdr>
        <w:shd w:val="clear" w:color="auto" w:fill="FFFFFF"/>
        <w:ind w:left="360" w:right="1972"/>
        <w:rPr>
          <w:rFonts w:ascii="Arial" w:eastAsia="Arial" w:hAnsi="Arial" w:cs="Arial"/>
          <w:color w:val="000000"/>
          <w:sz w:val="22"/>
          <w:szCs w:val="22"/>
        </w:rPr>
      </w:pP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supports for students </w:t>
      </w:r>
    </w:p>
    <w:p w:rsidR="00206525" w:rsidRDefault="002A2B70">
      <w:pPr>
        <w:pBdr>
          <w:top w:val="nil"/>
          <w:left w:val="nil"/>
          <w:bottom w:val="nil"/>
          <w:right w:val="nil"/>
          <w:between w:val="nil"/>
        </w:pBdr>
        <w:shd w:val="clear" w:color="auto" w:fill="FFFFFF"/>
        <w:ind w:right="9"/>
        <w:rPr>
          <w:rFonts w:ascii="Arial" w:eastAsia="Arial" w:hAnsi="Arial" w:cs="Arial"/>
          <w:color w:val="000000"/>
          <w:sz w:val="22"/>
          <w:szCs w:val="22"/>
        </w:rPr>
      </w:pPr>
      <w:r>
        <w:rPr>
          <w:rFonts w:ascii="Arial" w:eastAsia="Arial" w:hAnsi="Arial" w:cs="Arial"/>
          <w:color w:val="000000"/>
          <w:sz w:val="22"/>
          <w:szCs w:val="22"/>
        </w:rPr>
        <w:t>Nebraska’s legislature enacted the Nebraska Reading Improvement Act, which is contained within LB 1081. The law became effective for the 2019-2020 school year. Wh</w:t>
      </w:r>
      <w:r>
        <w:rPr>
          <w:rFonts w:ascii="Arial" w:eastAsia="Arial" w:hAnsi="Arial" w:cs="Arial"/>
          <w:color w:val="000000"/>
          <w:sz w:val="22"/>
          <w:szCs w:val="22"/>
        </w:rPr>
        <w:t xml:space="preserve">ile our current practice meets many of the requirements of the law, we will also: </w:t>
      </w:r>
    </w:p>
    <w:p w:rsidR="00206525" w:rsidRDefault="002A2B70">
      <w:pPr>
        <w:pBdr>
          <w:top w:val="nil"/>
          <w:left w:val="nil"/>
          <w:bottom w:val="nil"/>
          <w:right w:val="nil"/>
          <w:between w:val="nil"/>
        </w:pBdr>
        <w:shd w:val="clear" w:color="auto" w:fill="FFFFFF"/>
        <w:ind w:left="360" w:right="585"/>
        <w:rPr>
          <w:rFonts w:ascii="Arial" w:eastAsia="Arial" w:hAnsi="Arial" w:cs="Arial"/>
          <w:color w:val="000000"/>
          <w:sz w:val="22"/>
          <w:szCs w:val="22"/>
        </w:rPr>
      </w:pPr>
      <w:r>
        <w:rPr>
          <w:rFonts w:ascii="Arial" w:eastAsia="Arial" w:hAnsi="Arial" w:cs="Arial"/>
          <w:color w:val="000000"/>
          <w:sz w:val="22"/>
          <w:szCs w:val="22"/>
        </w:rPr>
        <w:t xml:space="preserve">● Communicate regularly with parents of students who are reading below grade level </w:t>
      </w:r>
    </w:p>
    <w:p w:rsidR="00206525" w:rsidRDefault="002A2B70">
      <w:pPr>
        <w:pBdr>
          <w:top w:val="nil"/>
          <w:left w:val="nil"/>
          <w:bottom w:val="nil"/>
          <w:right w:val="nil"/>
          <w:between w:val="nil"/>
        </w:pBdr>
        <w:shd w:val="clear" w:color="auto" w:fill="FFFFFF"/>
        <w:ind w:left="360" w:right="2188"/>
        <w:rPr>
          <w:rFonts w:ascii="Arial" w:eastAsia="Arial" w:hAnsi="Arial" w:cs="Arial"/>
          <w:color w:val="000000"/>
          <w:sz w:val="22"/>
          <w:szCs w:val="22"/>
        </w:rPr>
      </w:pPr>
      <w:r>
        <w:rPr>
          <w:rFonts w:ascii="Arial" w:eastAsia="Arial" w:hAnsi="Arial" w:cs="Arial"/>
          <w:color w:val="000000"/>
          <w:sz w:val="22"/>
          <w:szCs w:val="22"/>
        </w:rPr>
        <w:t xml:space="preserve">● Inform parents of reading supports provided to their child at school </w:t>
      </w:r>
    </w:p>
    <w:p w:rsidR="00206525" w:rsidRDefault="002A2B70">
      <w:pPr>
        <w:pBdr>
          <w:top w:val="nil"/>
          <w:left w:val="nil"/>
          <w:bottom w:val="nil"/>
          <w:right w:val="nil"/>
          <w:between w:val="nil"/>
        </w:pBdr>
        <w:shd w:val="clear" w:color="auto" w:fill="FFFFFF"/>
        <w:ind w:left="360" w:right="2188"/>
        <w:rPr>
          <w:rFonts w:ascii="Arial" w:eastAsia="Arial" w:hAnsi="Arial" w:cs="Arial"/>
          <w:color w:val="000000"/>
          <w:sz w:val="22"/>
          <w:szCs w:val="22"/>
        </w:rPr>
      </w:pPr>
      <w:r>
        <w:rPr>
          <w:rFonts w:ascii="Arial" w:eastAsia="Arial" w:hAnsi="Arial" w:cs="Arial"/>
          <w:color w:val="000000"/>
          <w:sz w:val="22"/>
          <w:szCs w:val="22"/>
        </w:rPr>
        <w:t xml:space="preserve">● Increase systems of supports for students </w:t>
      </w:r>
    </w:p>
    <w:p w:rsidR="00206525" w:rsidRDefault="002A2B70">
      <w:pPr>
        <w:pBdr>
          <w:top w:val="nil"/>
          <w:left w:val="nil"/>
          <w:bottom w:val="nil"/>
          <w:right w:val="nil"/>
          <w:between w:val="nil"/>
        </w:pBdr>
        <w:shd w:val="clear" w:color="auto" w:fill="FFFFFF"/>
        <w:ind w:left="360" w:right="1161"/>
        <w:rPr>
          <w:rFonts w:ascii="Arial" w:eastAsia="Arial" w:hAnsi="Arial" w:cs="Arial"/>
          <w:color w:val="000000"/>
          <w:sz w:val="22"/>
          <w:szCs w:val="22"/>
        </w:rPr>
      </w:pPr>
      <w:r>
        <w:rPr>
          <w:rFonts w:ascii="Arial" w:eastAsia="Arial" w:hAnsi="Arial" w:cs="Arial"/>
          <w:color w:val="000000"/>
          <w:sz w:val="22"/>
          <w:szCs w:val="22"/>
        </w:rPr>
        <w:t>● Develop an Individual Reading Plan (IRP) for students needing support</w:t>
      </w:r>
    </w:p>
    <w:p w:rsidR="00206525" w:rsidRDefault="002A2B70">
      <w:pPr>
        <w:pBdr>
          <w:top w:val="nil"/>
          <w:left w:val="nil"/>
          <w:bottom w:val="nil"/>
          <w:right w:val="nil"/>
          <w:between w:val="nil"/>
        </w:pBdr>
        <w:shd w:val="clear" w:color="auto" w:fill="FFFFFF"/>
        <w:ind w:right="62"/>
        <w:rPr>
          <w:rFonts w:ascii="Arial" w:eastAsia="Arial" w:hAnsi="Arial" w:cs="Arial"/>
          <w:color w:val="000000"/>
          <w:sz w:val="22"/>
          <w:szCs w:val="22"/>
        </w:rPr>
      </w:pPr>
      <w:r>
        <w:rPr>
          <w:rFonts w:ascii="Arial" w:eastAsia="Arial" w:hAnsi="Arial" w:cs="Arial"/>
          <w:color w:val="000000"/>
          <w:sz w:val="22"/>
          <w:szCs w:val="22"/>
        </w:rPr>
        <w:t xml:space="preserve">We </w:t>
      </w:r>
      <w:proofErr w:type="gramStart"/>
      <w:r>
        <w:rPr>
          <w:rFonts w:ascii="Arial" w:eastAsia="Arial" w:hAnsi="Arial" w:cs="Arial"/>
          <w:color w:val="000000"/>
          <w:sz w:val="22"/>
          <w:szCs w:val="22"/>
        </w:rPr>
        <w:t>are honored</w:t>
      </w:r>
      <w:proofErr w:type="gramEnd"/>
      <w:r>
        <w:rPr>
          <w:rFonts w:ascii="Arial" w:eastAsia="Arial" w:hAnsi="Arial" w:cs="Arial"/>
          <w:color w:val="000000"/>
          <w:sz w:val="22"/>
          <w:szCs w:val="22"/>
        </w:rPr>
        <w:t xml:space="preserve"> to have the privilege to work with you and your child to build his/her skills as an independent reader across the curriculum. As a commitment to your child’s success, we screen all students, K-5, with DIBELS </w:t>
      </w:r>
      <w:proofErr w:type="gramStart"/>
      <w:r>
        <w:rPr>
          <w:rFonts w:ascii="Arial" w:eastAsia="Arial" w:hAnsi="Arial" w:cs="Arial"/>
          <w:color w:val="000000"/>
          <w:sz w:val="22"/>
          <w:szCs w:val="22"/>
        </w:rPr>
        <w:t>three</w:t>
      </w:r>
      <w:proofErr w:type="gramEnd"/>
      <w:r>
        <w:rPr>
          <w:rFonts w:ascii="Arial" w:eastAsia="Arial" w:hAnsi="Arial" w:cs="Arial"/>
          <w:color w:val="000000"/>
          <w:sz w:val="22"/>
          <w:szCs w:val="22"/>
        </w:rPr>
        <w:t xml:space="preserve"> times a year. According to </w:t>
      </w:r>
      <w:r>
        <w:rPr>
          <w:rFonts w:ascii="Arial" w:eastAsia="Arial" w:hAnsi="Arial" w:cs="Arial"/>
          <w:color w:val="000000"/>
          <w:sz w:val="22"/>
          <w:szCs w:val="22"/>
        </w:rPr>
        <w:t>our most recent screening, your student shows performance in one of the following areas:</w:t>
      </w:r>
    </w:p>
    <w:p w:rsidR="00206525" w:rsidRDefault="002A2B70">
      <w:pPr>
        <w:numPr>
          <w:ilvl w:val="0"/>
          <w:numId w:val="1"/>
        </w:numPr>
      </w:pPr>
      <w:r>
        <w:t>Student is at or above proficiency level. The student will receive core instruction and no additional interventions needed. </w:t>
      </w:r>
    </w:p>
    <w:p w:rsidR="00206525" w:rsidRDefault="002A2B70">
      <w:pPr>
        <w:numPr>
          <w:ilvl w:val="0"/>
          <w:numId w:val="1"/>
        </w:numPr>
      </w:pPr>
      <w:r>
        <w:t>Student is at some risk of reading below e</w:t>
      </w:r>
      <w:r>
        <w:t>xpected levels according to Grandview Elementary screening results. The student will receive additional reading intervention according to the Grandview Elementary reading program guidelines. </w:t>
      </w:r>
    </w:p>
    <w:p w:rsidR="00206525" w:rsidRDefault="002A2B70">
      <w:pPr>
        <w:numPr>
          <w:ilvl w:val="0"/>
          <w:numId w:val="1"/>
        </w:numPr>
      </w:pPr>
      <w:r>
        <w:t>Student is below expected/proficient level. Additional intervent</w:t>
      </w:r>
      <w:r>
        <w:t>ion is required in addition to a detailed- individual-reading plan.</w:t>
      </w:r>
    </w:p>
    <w:p w:rsidR="00206525" w:rsidRDefault="002A2B70">
      <w:pPr>
        <w:pBdr>
          <w:top w:val="nil"/>
          <w:left w:val="nil"/>
          <w:bottom w:val="nil"/>
          <w:right w:val="nil"/>
          <w:between w:val="nil"/>
        </w:pBdr>
        <w:shd w:val="clear" w:color="auto" w:fill="FFFFFF"/>
        <w:ind w:right="705"/>
        <w:rPr>
          <w:rFonts w:ascii="Arial" w:eastAsia="Arial" w:hAnsi="Arial" w:cs="Arial"/>
          <w:color w:val="000000"/>
          <w:sz w:val="22"/>
          <w:szCs w:val="22"/>
        </w:rPr>
      </w:pPr>
      <w:r>
        <w:rPr>
          <w:rFonts w:ascii="Arial" w:eastAsia="Arial" w:hAnsi="Arial" w:cs="Arial"/>
          <w:color w:val="000000"/>
          <w:sz w:val="22"/>
          <w:szCs w:val="22"/>
        </w:rPr>
        <w:t xml:space="preserve">If you have any questions or need further information, please contact </w:t>
      </w:r>
      <w:r>
        <w:rPr>
          <w:rFonts w:ascii="Arial" w:eastAsia="Arial" w:hAnsi="Arial" w:cs="Arial"/>
          <w:sz w:val="22"/>
          <w:szCs w:val="22"/>
        </w:rPr>
        <w:t xml:space="preserve">Steve </w:t>
      </w:r>
      <w:proofErr w:type="spellStart"/>
      <w:r>
        <w:rPr>
          <w:rFonts w:ascii="Arial" w:eastAsia="Arial" w:hAnsi="Arial" w:cs="Arial"/>
          <w:sz w:val="22"/>
          <w:szCs w:val="22"/>
        </w:rPr>
        <w:t>Folchert</w:t>
      </w:r>
      <w:proofErr w:type="spellEnd"/>
      <w:r>
        <w:rPr>
          <w:rFonts w:ascii="Arial" w:eastAsia="Arial" w:hAnsi="Arial" w:cs="Arial"/>
          <w:color w:val="000000"/>
          <w:sz w:val="22"/>
          <w:szCs w:val="22"/>
        </w:rPr>
        <w:t xml:space="preserve"> or Brenda Mills at </w:t>
      </w:r>
      <w:r>
        <w:rPr>
          <w:rFonts w:ascii="Arial" w:eastAsia="Arial" w:hAnsi="Arial" w:cs="Arial"/>
          <w:sz w:val="22"/>
          <w:szCs w:val="22"/>
        </w:rPr>
        <w:t>Emerson</w:t>
      </w:r>
      <w:r>
        <w:rPr>
          <w:rFonts w:ascii="Arial" w:eastAsia="Arial" w:hAnsi="Arial" w:cs="Arial"/>
          <w:color w:val="000000"/>
          <w:sz w:val="22"/>
          <w:szCs w:val="22"/>
        </w:rPr>
        <w:t xml:space="preserve"> Elementary school.  Attached you will find the assessment information for yo</w:t>
      </w:r>
      <w:r>
        <w:rPr>
          <w:rFonts w:ascii="Arial" w:eastAsia="Arial" w:hAnsi="Arial" w:cs="Arial"/>
          <w:color w:val="000000"/>
          <w:sz w:val="22"/>
          <w:szCs w:val="22"/>
        </w:rPr>
        <w:t xml:space="preserve">ur child. </w:t>
      </w:r>
    </w:p>
    <w:p w:rsidR="00206525" w:rsidRDefault="00206525">
      <w:pPr>
        <w:pBdr>
          <w:top w:val="nil"/>
          <w:left w:val="nil"/>
          <w:bottom w:val="nil"/>
          <w:right w:val="nil"/>
          <w:between w:val="nil"/>
        </w:pBdr>
        <w:shd w:val="clear" w:color="auto" w:fill="FFFFFF"/>
        <w:ind w:right="705"/>
        <w:rPr>
          <w:rFonts w:ascii="Arial" w:eastAsia="Arial" w:hAnsi="Arial" w:cs="Arial"/>
          <w:color w:val="000000"/>
          <w:sz w:val="22"/>
          <w:szCs w:val="22"/>
        </w:rPr>
      </w:pPr>
    </w:p>
    <w:p w:rsidR="00206525" w:rsidRDefault="002A2B70">
      <w:pPr>
        <w:pBdr>
          <w:top w:val="nil"/>
          <w:left w:val="nil"/>
          <w:bottom w:val="nil"/>
          <w:right w:val="nil"/>
          <w:between w:val="nil"/>
        </w:pBdr>
        <w:shd w:val="clear" w:color="auto" w:fill="FFFFFF"/>
        <w:ind w:right="8395"/>
        <w:rPr>
          <w:rFonts w:ascii="Arial" w:eastAsia="Arial" w:hAnsi="Arial" w:cs="Arial"/>
          <w:color w:val="000000"/>
          <w:sz w:val="22"/>
          <w:szCs w:val="22"/>
        </w:rPr>
      </w:pPr>
      <w:r>
        <w:rPr>
          <w:rFonts w:ascii="Arial" w:eastAsia="Arial" w:hAnsi="Arial" w:cs="Arial"/>
          <w:color w:val="000000"/>
          <w:sz w:val="22"/>
          <w:szCs w:val="22"/>
        </w:rPr>
        <w:t>Sincerely,</w:t>
      </w:r>
    </w:p>
    <w:p w:rsidR="00206525" w:rsidRDefault="00206525">
      <w:pPr>
        <w:pBdr>
          <w:top w:val="nil"/>
          <w:left w:val="nil"/>
          <w:bottom w:val="nil"/>
          <w:right w:val="nil"/>
          <w:between w:val="nil"/>
        </w:pBdr>
        <w:shd w:val="clear" w:color="auto" w:fill="FFFFFF"/>
        <w:ind w:right="8395"/>
        <w:rPr>
          <w:rFonts w:ascii="Arial" w:eastAsia="Arial" w:hAnsi="Arial" w:cs="Arial"/>
          <w:color w:val="000000"/>
          <w:sz w:val="22"/>
          <w:szCs w:val="22"/>
        </w:rPr>
      </w:pPr>
    </w:p>
    <w:p w:rsidR="00206525" w:rsidRDefault="00206525">
      <w:pPr>
        <w:pBdr>
          <w:top w:val="nil"/>
          <w:left w:val="nil"/>
          <w:bottom w:val="nil"/>
          <w:right w:val="nil"/>
          <w:between w:val="nil"/>
        </w:pBdr>
        <w:shd w:val="clear" w:color="auto" w:fill="FFFFFF"/>
        <w:ind w:right="8395"/>
        <w:rPr>
          <w:rFonts w:ascii="Arial" w:eastAsia="Arial" w:hAnsi="Arial" w:cs="Arial"/>
          <w:color w:val="000000"/>
          <w:sz w:val="22"/>
          <w:szCs w:val="22"/>
        </w:rPr>
      </w:pPr>
    </w:p>
    <w:p w:rsidR="00206525" w:rsidRDefault="002A2B70">
      <w:pPr>
        <w:pBdr>
          <w:top w:val="nil"/>
          <w:left w:val="nil"/>
          <w:bottom w:val="nil"/>
          <w:right w:val="nil"/>
          <w:between w:val="nil"/>
        </w:pBdr>
        <w:shd w:val="clear" w:color="auto" w:fill="FFFFFF"/>
        <w:ind w:right="8395"/>
        <w:rPr>
          <w:rFonts w:ascii="Arial" w:eastAsia="Arial" w:hAnsi="Arial" w:cs="Arial"/>
          <w:color w:val="000000"/>
          <w:sz w:val="22"/>
          <w:szCs w:val="22"/>
        </w:rPr>
      </w:pPr>
      <w:r>
        <w:rPr>
          <w:rFonts w:ascii="Arial" w:eastAsia="Arial" w:hAnsi="Arial" w:cs="Arial"/>
          <w:sz w:val="22"/>
          <w:szCs w:val="22"/>
        </w:rPr>
        <w:t>__________________</w:t>
      </w:r>
    </w:p>
    <w:p w:rsidR="00206525" w:rsidRDefault="002A2B70">
      <w:pPr>
        <w:pBdr>
          <w:top w:val="nil"/>
          <w:left w:val="nil"/>
          <w:bottom w:val="nil"/>
          <w:right w:val="nil"/>
          <w:between w:val="nil"/>
        </w:pBdr>
        <w:shd w:val="clear" w:color="auto" w:fill="FFFFFF"/>
        <w:ind w:right="8395"/>
        <w:rPr>
          <w:sz w:val="28"/>
          <w:szCs w:val="28"/>
        </w:rPr>
      </w:pPr>
      <w:r>
        <w:rPr>
          <w:rFonts w:ascii="Arial" w:eastAsia="Arial" w:hAnsi="Arial" w:cs="Arial"/>
          <w:color w:val="000000"/>
          <w:sz w:val="22"/>
          <w:szCs w:val="22"/>
        </w:rPr>
        <w:t>Principal</w:t>
      </w:r>
    </w:p>
    <w:sectPr w:rsidR="00206525">
      <w:footerReference w:type="default" r:id="rId10"/>
      <w:pgSz w:w="12240" w:h="15840"/>
      <w:pgMar w:top="1008"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2B70">
      <w:r>
        <w:separator/>
      </w:r>
    </w:p>
  </w:endnote>
  <w:endnote w:type="continuationSeparator" w:id="0">
    <w:p w:rsidR="00000000" w:rsidRDefault="002A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25" w:rsidRDefault="002A2B70">
    <w:pPr>
      <w:pBdr>
        <w:top w:val="nil"/>
        <w:left w:val="nil"/>
        <w:bottom w:val="nil"/>
        <w:right w:val="nil"/>
        <w:between w:val="nil"/>
      </w:pBdr>
      <w:tabs>
        <w:tab w:val="center" w:pos="4320"/>
        <w:tab w:val="right" w:pos="8640"/>
      </w:tabs>
      <w:jc w:val="center"/>
      <w:rPr>
        <w:color w:val="000000"/>
      </w:rPr>
    </w:pPr>
    <w:r>
      <w:rPr>
        <w:color w:val="000000"/>
      </w:rPr>
      <w:t>Alliance Public Schools ~ “Success for All Students”</w:t>
    </w:r>
  </w:p>
  <w:p w:rsidR="00206525" w:rsidRDefault="002A2B70">
    <w:pPr>
      <w:pBdr>
        <w:top w:val="nil"/>
        <w:left w:val="nil"/>
        <w:bottom w:val="nil"/>
        <w:right w:val="nil"/>
        <w:between w:val="nil"/>
      </w:pBdr>
      <w:tabs>
        <w:tab w:val="center" w:pos="4320"/>
        <w:tab w:val="right" w:pos="8640"/>
      </w:tabs>
      <w:jc w:val="center"/>
      <w:rPr>
        <w:color w:val="000000"/>
      </w:rPr>
    </w:pPr>
    <w:r>
      <w:rPr>
        <w:color w:val="000000"/>
      </w:rPr>
      <w:t>www.alliance</w:t>
    </w:r>
    <w:r>
      <w:t>bulldogs</w:t>
    </w:r>
    <w:r>
      <w:rPr>
        <w:color w:val="000000"/>
      </w:rPr>
      <w: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2B70">
      <w:r>
        <w:separator/>
      </w:r>
    </w:p>
  </w:footnote>
  <w:footnote w:type="continuationSeparator" w:id="0">
    <w:p w:rsidR="00000000" w:rsidRDefault="002A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4CC"/>
    <w:multiLevelType w:val="multilevel"/>
    <w:tmpl w:val="03BA4E80"/>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25"/>
    <w:rsid w:val="00206525"/>
    <w:rsid w:val="002A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24E3F-C06D-4DAA-A1D9-9186ADA8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1561A4EA</Template>
  <TotalTime>0</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Abby</dc:creator>
  <cp:lastModifiedBy>Burke, Abby</cp:lastModifiedBy>
  <cp:revision>2</cp:revision>
  <dcterms:created xsi:type="dcterms:W3CDTF">2020-01-23T18:43:00Z</dcterms:created>
  <dcterms:modified xsi:type="dcterms:W3CDTF">2020-01-23T18:43:00Z</dcterms:modified>
</cp:coreProperties>
</file>