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Y="931"/>
        <w:tblW w:w="14280" w:type="dxa"/>
        <w:tblCellMar>
          <w:top w:w="58" w:type="dxa"/>
          <w:left w:w="115" w:type="dxa"/>
          <w:bottom w:w="58" w:type="dxa"/>
          <w:right w:w="115" w:type="dxa"/>
        </w:tblCellMar>
        <w:tblLook w:val="04A0" w:firstRow="1" w:lastRow="0" w:firstColumn="1" w:lastColumn="0" w:noHBand="0" w:noVBand="1"/>
      </w:tblPr>
      <w:tblGrid>
        <w:gridCol w:w="3365"/>
        <w:gridCol w:w="3240"/>
        <w:gridCol w:w="2610"/>
        <w:gridCol w:w="2527"/>
        <w:gridCol w:w="2538"/>
      </w:tblGrid>
      <w:tr w:rsidR="00104E01" w:rsidRPr="005A4A24" w:rsidTr="00774C4E">
        <w:trPr>
          <w:cantSplit/>
          <w:trHeight w:val="440"/>
        </w:trPr>
        <w:tc>
          <w:tcPr>
            <w:tcW w:w="14280" w:type="dxa"/>
            <w:gridSpan w:val="5"/>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104E01" w:rsidRPr="005A4A24" w:rsidRDefault="00104E01" w:rsidP="00104E01">
            <w:pPr>
              <w:jc w:val="center"/>
              <w:rPr>
                <w:rFonts w:ascii="Arial" w:hAnsi="Arial" w:cs="Arial"/>
                <w:b/>
              </w:rPr>
            </w:pPr>
            <w:r w:rsidRPr="005A4A24">
              <w:rPr>
                <w:rFonts w:ascii="Arial" w:hAnsi="Arial" w:cs="Arial"/>
                <w:b/>
                <w:sz w:val="28"/>
              </w:rPr>
              <w:t>Science – Grade 5 Physical Science</w:t>
            </w:r>
          </w:p>
        </w:tc>
      </w:tr>
      <w:tr w:rsidR="00104E01" w:rsidRPr="005A4A24" w:rsidTr="00104E01">
        <w:trPr>
          <w:cantSplit/>
          <w:trHeight w:val="467"/>
        </w:trPr>
        <w:tc>
          <w:tcPr>
            <w:tcW w:w="6605"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104E01" w:rsidRPr="005A4A24" w:rsidRDefault="00104E01" w:rsidP="00104E01">
            <w:pPr>
              <w:rPr>
                <w:rFonts w:ascii="Arial" w:hAnsi="Arial" w:cs="Arial"/>
              </w:rPr>
            </w:pPr>
            <w:r w:rsidRPr="005A4A24">
              <w:rPr>
                <w:rFonts w:ascii="Arial" w:hAnsi="Arial" w:cs="Arial"/>
                <w:b/>
                <w:bCs/>
                <w:sz w:val="24"/>
                <w:szCs w:val="24"/>
              </w:rPr>
              <w:t>SC.5.3 Structure and Properties of Matter</w:t>
            </w:r>
          </w:p>
        </w:tc>
        <w:tc>
          <w:tcPr>
            <w:tcW w:w="7675" w:type="dxa"/>
            <w:gridSpan w:val="3"/>
            <w:vMerge w:val="restart"/>
            <w:tcBorders>
              <w:top w:val="single" w:sz="18" w:space="0" w:color="auto"/>
              <w:left w:val="single" w:sz="18" w:space="0" w:color="auto"/>
              <w:right w:val="single" w:sz="18" w:space="0" w:color="auto"/>
            </w:tcBorders>
            <w:shd w:val="clear" w:color="auto" w:fill="D0CECE" w:themeFill="background2" w:themeFillShade="E6"/>
            <w:vAlign w:val="center"/>
          </w:tcPr>
          <w:p w:rsidR="00104E01" w:rsidRPr="005A4A24" w:rsidRDefault="001B67BA" w:rsidP="00104E01">
            <w:pPr>
              <w:jc w:val="center"/>
              <w:rPr>
                <w:rFonts w:ascii="Arial" w:hAnsi="Arial" w:cs="Arial"/>
              </w:rPr>
            </w:pPr>
            <w:r>
              <w:rPr>
                <w:rFonts w:ascii="Arial" w:hAnsi="Arial" w:cs="Arial"/>
                <w:b/>
                <w:bCs/>
                <w:sz w:val="24"/>
                <w:szCs w:val="24"/>
              </w:rPr>
              <w:t>Access Points</w:t>
            </w:r>
          </w:p>
        </w:tc>
      </w:tr>
      <w:tr w:rsidR="00104E01" w:rsidRPr="005A4A24" w:rsidTr="00104E01">
        <w:trPr>
          <w:cantSplit/>
        </w:trPr>
        <w:tc>
          <w:tcPr>
            <w:tcW w:w="3365" w:type="dxa"/>
            <w:tcBorders>
              <w:top w:val="single" w:sz="18" w:space="0" w:color="auto"/>
              <w:left w:val="single" w:sz="18" w:space="0" w:color="auto"/>
              <w:bottom w:val="single" w:sz="18" w:space="0" w:color="auto"/>
              <w:right w:val="single" w:sz="8" w:space="0" w:color="D0CECE" w:themeColor="background2" w:themeShade="E6"/>
            </w:tcBorders>
            <w:shd w:val="clear" w:color="auto" w:fill="D9D9D9" w:themeFill="background1" w:themeFillShade="D9"/>
            <w:vAlign w:val="center"/>
          </w:tcPr>
          <w:p w:rsidR="00104E01" w:rsidRPr="005A4A24" w:rsidRDefault="00104E01" w:rsidP="00104E01">
            <w:pPr>
              <w:jc w:val="center"/>
              <w:rPr>
                <w:rFonts w:ascii="Arial" w:hAnsi="Arial" w:cs="Arial"/>
                <w:b/>
              </w:rPr>
            </w:pPr>
            <w:r w:rsidRPr="005A4A24">
              <w:rPr>
                <w:rFonts w:ascii="Arial" w:hAnsi="Arial" w:cs="Arial"/>
                <w:b/>
              </w:rPr>
              <w:t>Standard / Indicator</w:t>
            </w:r>
          </w:p>
        </w:tc>
        <w:tc>
          <w:tcPr>
            <w:tcW w:w="3240" w:type="dxa"/>
            <w:tcBorders>
              <w:top w:val="single" w:sz="18" w:space="0" w:color="auto"/>
              <w:left w:val="single" w:sz="8" w:space="0" w:color="D0CECE" w:themeColor="background2" w:themeShade="E6"/>
              <w:bottom w:val="single" w:sz="18" w:space="0" w:color="auto"/>
              <w:right w:val="single" w:sz="18" w:space="0" w:color="auto"/>
            </w:tcBorders>
            <w:shd w:val="clear" w:color="auto" w:fill="D9D9D9" w:themeFill="background1" w:themeFillShade="D9"/>
            <w:vAlign w:val="center"/>
          </w:tcPr>
          <w:p w:rsidR="00104E01" w:rsidRPr="005A4A24" w:rsidRDefault="00104E01" w:rsidP="00104E01">
            <w:pPr>
              <w:jc w:val="center"/>
              <w:rPr>
                <w:rFonts w:ascii="Arial" w:hAnsi="Arial" w:cs="Arial"/>
                <w:b/>
              </w:rPr>
            </w:pPr>
            <w:r w:rsidRPr="005A4A24">
              <w:rPr>
                <w:rFonts w:ascii="Arial" w:hAnsi="Arial" w:cs="Arial"/>
                <w:b/>
              </w:rPr>
              <w:t>Extension</w:t>
            </w:r>
          </w:p>
        </w:tc>
        <w:tc>
          <w:tcPr>
            <w:tcW w:w="7675" w:type="dxa"/>
            <w:gridSpan w:val="3"/>
            <w:vMerge/>
            <w:tcBorders>
              <w:left w:val="single" w:sz="18" w:space="0" w:color="auto"/>
              <w:bottom w:val="single" w:sz="18" w:space="0" w:color="auto"/>
              <w:right w:val="single" w:sz="18" w:space="0" w:color="auto"/>
            </w:tcBorders>
          </w:tcPr>
          <w:p w:rsidR="00104E01" w:rsidRPr="005A4A24" w:rsidRDefault="00104E01" w:rsidP="00104E01">
            <w:pPr>
              <w:rPr>
                <w:rFonts w:ascii="Arial" w:hAnsi="Arial" w:cs="Arial"/>
              </w:rPr>
            </w:pPr>
          </w:p>
        </w:tc>
      </w:tr>
      <w:tr w:rsidR="00104E01" w:rsidRPr="005A4A24" w:rsidTr="004761DE">
        <w:trPr>
          <w:cantSplit/>
          <w:trHeight w:val="677"/>
        </w:trPr>
        <w:tc>
          <w:tcPr>
            <w:tcW w:w="3365" w:type="dxa"/>
            <w:tcBorders>
              <w:top w:val="single" w:sz="18" w:space="0" w:color="auto"/>
              <w:left w:val="single" w:sz="18" w:space="0" w:color="auto"/>
              <w:bottom w:val="single" w:sz="18" w:space="0" w:color="AEAAAA" w:themeColor="background2" w:themeShade="BF"/>
              <w:right w:val="single" w:sz="8" w:space="0" w:color="D0CECE" w:themeColor="background2" w:themeShade="E6"/>
            </w:tcBorders>
            <w:vAlign w:val="center"/>
          </w:tcPr>
          <w:p w:rsidR="00104E01" w:rsidRPr="005A4A24" w:rsidRDefault="00104E01" w:rsidP="00104E01">
            <w:pPr>
              <w:autoSpaceDE w:val="0"/>
              <w:autoSpaceDN w:val="0"/>
              <w:adjustRightInd w:val="0"/>
              <w:rPr>
                <w:rFonts w:ascii="Arial" w:hAnsi="Arial" w:cs="Arial"/>
                <w:sz w:val="20"/>
                <w:szCs w:val="20"/>
              </w:rPr>
            </w:pPr>
            <w:r w:rsidRPr="005A4A24">
              <w:rPr>
                <w:rFonts w:ascii="Arial" w:hAnsi="Arial" w:cs="Arial"/>
                <w:sz w:val="20"/>
                <w:szCs w:val="20"/>
              </w:rPr>
              <w:t>SC.5.3.1 Gather, analyze, and communicate evidence of structure and properties of matter.</w:t>
            </w:r>
          </w:p>
        </w:tc>
        <w:tc>
          <w:tcPr>
            <w:tcW w:w="3240" w:type="dxa"/>
            <w:tcBorders>
              <w:top w:val="single" w:sz="18" w:space="0" w:color="auto"/>
              <w:left w:val="single" w:sz="8" w:space="0" w:color="D0CECE" w:themeColor="background2" w:themeShade="E6"/>
              <w:bottom w:val="single" w:sz="18" w:space="0" w:color="AEAAAA" w:themeColor="background2" w:themeShade="BF"/>
              <w:right w:val="single" w:sz="18" w:space="0" w:color="auto"/>
            </w:tcBorders>
          </w:tcPr>
          <w:p w:rsidR="00104E01" w:rsidRPr="00E14CD7" w:rsidRDefault="003051D8" w:rsidP="00104E01">
            <w:pPr>
              <w:rPr>
                <w:rFonts w:ascii="Arial" w:hAnsi="Arial" w:cs="Arial"/>
                <w:sz w:val="20"/>
                <w:szCs w:val="20"/>
              </w:rPr>
            </w:pPr>
            <w:r>
              <w:rPr>
                <w:rFonts w:ascii="Arial" w:hAnsi="Arial" w:cs="Arial"/>
                <w:sz w:val="20"/>
                <w:szCs w:val="20"/>
              </w:rPr>
              <w:t xml:space="preserve"> </w:t>
            </w:r>
          </w:p>
        </w:tc>
        <w:tc>
          <w:tcPr>
            <w:tcW w:w="2610" w:type="dxa"/>
            <w:tcBorders>
              <w:top w:val="single" w:sz="18" w:space="0" w:color="auto"/>
              <w:left w:val="single" w:sz="18" w:space="0" w:color="auto"/>
              <w:bottom w:val="single" w:sz="18" w:space="0" w:color="AEAAAA" w:themeColor="background2" w:themeShade="BF"/>
              <w:right w:val="single" w:sz="8" w:space="0" w:color="D0CECE" w:themeColor="background2" w:themeShade="E6"/>
            </w:tcBorders>
            <w:shd w:val="clear" w:color="auto" w:fill="D9D9D9" w:themeFill="background1" w:themeFillShade="D9"/>
            <w:vAlign w:val="center"/>
          </w:tcPr>
          <w:p w:rsidR="00104E01" w:rsidRPr="001B67BA" w:rsidRDefault="001B67BA" w:rsidP="00104E01">
            <w:pPr>
              <w:jc w:val="center"/>
              <w:rPr>
                <w:rFonts w:ascii="Arial" w:hAnsi="Arial" w:cs="Arial"/>
                <w:b/>
                <w:sz w:val="32"/>
                <w:szCs w:val="32"/>
              </w:rPr>
            </w:pPr>
            <w:r w:rsidRPr="001B67BA">
              <w:rPr>
                <w:rFonts w:ascii="Arial" w:hAnsi="Arial" w:cs="Arial"/>
                <w:b/>
                <w:sz w:val="32"/>
                <w:szCs w:val="32"/>
              </w:rPr>
              <w:t>A</w:t>
            </w:r>
          </w:p>
        </w:tc>
        <w:tc>
          <w:tcPr>
            <w:tcW w:w="2527" w:type="dxa"/>
            <w:tcBorders>
              <w:top w:val="single" w:sz="18" w:space="0" w:color="auto"/>
              <w:left w:val="single" w:sz="8" w:space="0" w:color="D0CECE" w:themeColor="background2" w:themeShade="E6"/>
              <w:bottom w:val="single" w:sz="18" w:space="0" w:color="AEAAAA" w:themeColor="background2" w:themeShade="BF"/>
              <w:right w:val="single" w:sz="8" w:space="0" w:color="D0CECE" w:themeColor="background2" w:themeShade="E6"/>
            </w:tcBorders>
            <w:shd w:val="clear" w:color="auto" w:fill="D9D9D9" w:themeFill="background1" w:themeFillShade="D9"/>
            <w:vAlign w:val="center"/>
          </w:tcPr>
          <w:p w:rsidR="00104E01" w:rsidRPr="001B67BA" w:rsidRDefault="001B67BA" w:rsidP="00104E01">
            <w:pPr>
              <w:jc w:val="center"/>
              <w:rPr>
                <w:rFonts w:ascii="Arial" w:hAnsi="Arial" w:cs="Arial"/>
                <w:b/>
                <w:sz w:val="32"/>
                <w:szCs w:val="32"/>
              </w:rPr>
            </w:pPr>
            <w:r w:rsidRPr="001B67BA">
              <w:rPr>
                <w:rFonts w:ascii="Arial" w:hAnsi="Arial" w:cs="Arial"/>
                <w:b/>
                <w:sz w:val="32"/>
                <w:szCs w:val="32"/>
              </w:rPr>
              <w:t>B</w:t>
            </w:r>
          </w:p>
        </w:tc>
        <w:tc>
          <w:tcPr>
            <w:tcW w:w="2538" w:type="dxa"/>
            <w:tcBorders>
              <w:top w:val="single" w:sz="18" w:space="0" w:color="auto"/>
              <w:left w:val="single" w:sz="8" w:space="0" w:color="D0CECE" w:themeColor="background2" w:themeShade="E6"/>
              <w:bottom w:val="single" w:sz="18" w:space="0" w:color="AEAAAA" w:themeColor="background2" w:themeShade="BF"/>
              <w:right w:val="single" w:sz="18" w:space="0" w:color="auto"/>
            </w:tcBorders>
            <w:shd w:val="clear" w:color="auto" w:fill="D9D9D9" w:themeFill="background1" w:themeFillShade="D9"/>
            <w:vAlign w:val="center"/>
          </w:tcPr>
          <w:p w:rsidR="00104E01" w:rsidRPr="001B67BA" w:rsidRDefault="001B67BA" w:rsidP="00104E01">
            <w:pPr>
              <w:jc w:val="center"/>
              <w:rPr>
                <w:rFonts w:ascii="Arial" w:hAnsi="Arial" w:cs="Arial"/>
                <w:b/>
                <w:sz w:val="32"/>
                <w:szCs w:val="32"/>
              </w:rPr>
            </w:pPr>
            <w:r w:rsidRPr="001B67BA">
              <w:rPr>
                <w:rFonts w:ascii="Arial" w:hAnsi="Arial" w:cs="Arial"/>
                <w:b/>
                <w:sz w:val="32"/>
                <w:szCs w:val="32"/>
              </w:rPr>
              <w:t>C</w:t>
            </w:r>
          </w:p>
        </w:tc>
      </w:tr>
      <w:tr w:rsidR="00104E01" w:rsidRPr="005A4A24" w:rsidTr="003C15A4">
        <w:trPr>
          <w:cantSplit/>
          <w:trHeight w:val="1820"/>
        </w:trPr>
        <w:tc>
          <w:tcPr>
            <w:tcW w:w="3365" w:type="dxa"/>
            <w:tcBorders>
              <w:top w:val="single" w:sz="18" w:space="0" w:color="AEAAAA" w:themeColor="background2" w:themeShade="BF"/>
              <w:left w:val="single" w:sz="18" w:space="0" w:color="auto"/>
              <w:bottom w:val="single" w:sz="12" w:space="0" w:color="AEAAAA" w:themeColor="background2" w:themeShade="BF"/>
              <w:right w:val="single" w:sz="8" w:space="0" w:color="D0CECE" w:themeColor="background2" w:themeShade="E6"/>
            </w:tcBorders>
          </w:tcPr>
          <w:p w:rsidR="00104E01" w:rsidRPr="003C536E" w:rsidRDefault="00104E01" w:rsidP="00104E01">
            <w:pPr>
              <w:autoSpaceDE w:val="0"/>
              <w:autoSpaceDN w:val="0"/>
              <w:adjustRightInd w:val="0"/>
              <w:rPr>
                <w:rFonts w:ascii="Arial" w:hAnsi="Arial" w:cs="Arial"/>
                <w:color w:val="000000"/>
                <w:sz w:val="24"/>
                <w:szCs w:val="24"/>
              </w:rPr>
            </w:pPr>
            <w:bookmarkStart w:id="0" w:name="_GoBack" w:colFirst="1" w:colLast="1"/>
            <w:r w:rsidRPr="005A4A24">
              <w:rPr>
                <w:rFonts w:ascii="Arial" w:hAnsi="Arial" w:cs="Arial"/>
                <w:color w:val="000000"/>
                <w:sz w:val="24"/>
                <w:szCs w:val="24"/>
              </w:rPr>
              <w:t xml:space="preserve">SC.5.3.1.A </w:t>
            </w:r>
            <w:r w:rsidRPr="003C536E">
              <w:rPr>
                <w:rFonts w:ascii="Arial" w:hAnsi="Arial" w:cs="Arial"/>
                <w:bCs/>
                <w:color w:val="000000"/>
                <w:sz w:val="24"/>
                <w:szCs w:val="24"/>
              </w:rPr>
              <w:t>Develop a model</w:t>
            </w:r>
            <w:r w:rsidRPr="003C536E">
              <w:rPr>
                <w:rFonts w:ascii="Arial" w:hAnsi="Arial" w:cs="Arial"/>
                <w:b/>
                <w:bCs/>
                <w:color w:val="000000"/>
                <w:sz w:val="24"/>
                <w:szCs w:val="24"/>
              </w:rPr>
              <w:t xml:space="preserve"> </w:t>
            </w:r>
            <w:r w:rsidRPr="003C536E">
              <w:rPr>
                <w:rFonts w:ascii="Arial" w:hAnsi="Arial" w:cs="Arial"/>
                <w:color w:val="000000"/>
                <w:sz w:val="24"/>
                <w:szCs w:val="24"/>
              </w:rPr>
              <w:t>to describe that matter is made of particles too</w:t>
            </w:r>
            <w:r w:rsidR="004761DE" w:rsidRPr="003C536E">
              <w:rPr>
                <w:rFonts w:ascii="Arial" w:hAnsi="Arial" w:cs="Arial"/>
                <w:color w:val="000000"/>
                <w:sz w:val="24"/>
                <w:szCs w:val="24"/>
              </w:rPr>
              <w:t xml:space="preserve"> </w:t>
            </w:r>
            <w:r w:rsidRPr="003C536E">
              <w:rPr>
                <w:rFonts w:ascii="Arial" w:hAnsi="Arial" w:cs="Arial"/>
                <w:color w:val="000000"/>
                <w:sz w:val="24"/>
                <w:szCs w:val="24"/>
              </w:rPr>
              <w:t xml:space="preserve">small to be seen. </w:t>
            </w:r>
          </w:p>
          <w:p w:rsidR="00104E01" w:rsidRPr="005B6699" w:rsidRDefault="00104E01" w:rsidP="00104E01">
            <w:pPr>
              <w:autoSpaceDE w:val="0"/>
              <w:autoSpaceDN w:val="0"/>
              <w:adjustRightInd w:val="0"/>
              <w:rPr>
                <w:rFonts w:ascii="Arial" w:hAnsi="Arial" w:cs="Arial"/>
                <w:color w:val="666666"/>
                <w:sz w:val="18"/>
                <w:szCs w:val="18"/>
              </w:rPr>
            </w:pPr>
            <w:r w:rsidRPr="005B6699">
              <w:rPr>
                <w:rFonts w:ascii="Arial" w:hAnsi="Arial" w:cs="Arial"/>
                <w:color w:val="808080" w:themeColor="background1" w:themeShade="80"/>
                <w:sz w:val="18"/>
                <w:szCs w:val="18"/>
              </w:rPr>
              <w:t>Assessment does not include the atomic-scale mechanism of evaporation and condensation or defining the unseen particles.</w:t>
            </w:r>
          </w:p>
        </w:tc>
        <w:tc>
          <w:tcPr>
            <w:tcW w:w="3240" w:type="dxa"/>
            <w:tcBorders>
              <w:top w:val="single" w:sz="18" w:space="0" w:color="AEAAAA" w:themeColor="background2" w:themeShade="BF"/>
              <w:left w:val="single" w:sz="8" w:space="0" w:color="D0CECE" w:themeColor="background2" w:themeShade="E6"/>
              <w:bottom w:val="single" w:sz="12" w:space="0" w:color="AEAAAA" w:themeColor="background2" w:themeShade="BF"/>
              <w:right w:val="single" w:sz="18" w:space="0" w:color="auto"/>
            </w:tcBorders>
          </w:tcPr>
          <w:p w:rsidR="003C15A4" w:rsidRPr="005A4A24" w:rsidRDefault="00E46A72" w:rsidP="00E46A72">
            <w:pPr>
              <w:rPr>
                <w:rFonts w:ascii="Arial" w:hAnsi="Arial" w:cs="Arial"/>
                <w:sz w:val="20"/>
              </w:rPr>
            </w:pPr>
            <w:r>
              <w:rPr>
                <w:rFonts w:ascii="Arial" w:hAnsi="Arial" w:cs="Arial"/>
                <w:sz w:val="20"/>
              </w:rPr>
              <w:t xml:space="preserve">Participate in investigations to </w:t>
            </w:r>
            <w:r w:rsidR="003C15A4">
              <w:rPr>
                <w:rFonts w:ascii="Arial" w:hAnsi="Arial" w:cs="Arial"/>
                <w:sz w:val="20"/>
              </w:rPr>
              <w:t xml:space="preserve">describe that matter is made of particles too small to see without </w:t>
            </w:r>
            <w:r>
              <w:rPr>
                <w:rFonts w:ascii="Arial" w:hAnsi="Arial" w:cs="Arial"/>
                <w:sz w:val="20"/>
              </w:rPr>
              <w:t>magnification</w:t>
            </w:r>
            <w:r w:rsidR="003C15A4">
              <w:rPr>
                <w:rFonts w:ascii="Arial" w:hAnsi="Arial" w:cs="Arial"/>
                <w:sz w:val="20"/>
              </w:rPr>
              <w:t>.</w:t>
            </w:r>
          </w:p>
        </w:tc>
        <w:tc>
          <w:tcPr>
            <w:tcW w:w="2610" w:type="dxa"/>
            <w:tcBorders>
              <w:top w:val="single" w:sz="18" w:space="0" w:color="AEAAAA" w:themeColor="background2" w:themeShade="BF"/>
              <w:left w:val="single" w:sz="18" w:space="0" w:color="auto"/>
              <w:bottom w:val="single" w:sz="12" w:space="0" w:color="AEAAAA" w:themeColor="background2" w:themeShade="BF"/>
              <w:right w:val="single" w:sz="8" w:space="0" w:color="D0CECE" w:themeColor="background2" w:themeShade="E6"/>
            </w:tcBorders>
          </w:tcPr>
          <w:p w:rsidR="003C15A4" w:rsidRPr="005A4A24" w:rsidRDefault="00E46A72" w:rsidP="00070572">
            <w:pPr>
              <w:rPr>
                <w:rFonts w:ascii="Arial" w:hAnsi="Arial" w:cs="Arial"/>
                <w:sz w:val="20"/>
              </w:rPr>
            </w:pPr>
            <w:r>
              <w:rPr>
                <w:rFonts w:ascii="Arial" w:hAnsi="Arial" w:cs="Arial"/>
                <w:sz w:val="20"/>
              </w:rPr>
              <w:t xml:space="preserve">Observe models or objects </w:t>
            </w:r>
            <w:r w:rsidR="003C15A4">
              <w:rPr>
                <w:rFonts w:ascii="Arial" w:hAnsi="Arial" w:cs="Arial"/>
                <w:sz w:val="20"/>
              </w:rPr>
              <w:t>to describe that matter of all sizes and shapes is made of many tiny particles that can be seen</w:t>
            </w:r>
            <w:r w:rsidR="00070572">
              <w:rPr>
                <w:rFonts w:ascii="Arial" w:hAnsi="Arial" w:cs="Arial"/>
                <w:sz w:val="20"/>
              </w:rPr>
              <w:t xml:space="preserve"> only</w:t>
            </w:r>
            <w:r w:rsidR="003C15A4">
              <w:rPr>
                <w:rFonts w:ascii="Arial" w:hAnsi="Arial" w:cs="Arial"/>
                <w:sz w:val="20"/>
              </w:rPr>
              <w:t xml:space="preserve"> when magnified.</w:t>
            </w:r>
          </w:p>
        </w:tc>
        <w:tc>
          <w:tcPr>
            <w:tcW w:w="2527" w:type="dxa"/>
            <w:tcBorders>
              <w:top w:val="single" w:sz="18" w:space="0" w:color="AEAAAA" w:themeColor="background2" w:themeShade="BF"/>
              <w:left w:val="single" w:sz="8" w:space="0" w:color="D0CECE" w:themeColor="background2" w:themeShade="E6"/>
              <w:bottom w:val="single" w:sz="12" w:space="0" w:color="AEAAAA" w:themeColor="background2" w:themeShade="BF"/>
              <w:right w:val="single" w:sz="8" w:space="0" w:color="D0CECE" w:themeColor="background2" w:themeShade="E6"/>
            </w:tcBorders>
          </w:tcPr>
          <w:p w:rsidR="003C15A4" w:rsidRPr="005A4A24" w:rsidRDefault="003C15A4" w:rsidP="00520F4C">
            <w:pPr>
              <w:rPr>
                <w:rFonts w:ascii="Arial" w:hAnsi="Arial" w:cs="Arial"/>
                <w:sz w:val="20"/>
              </w:rPr>
            </w:pPr>
            <w:r>
              <w:rPr>
                <w:rFonts w:ascii="Arial" w:hAnsi="Arial" w:cs="Arial"/>
                <w:sz w:val="20"/>
              </w:rPr>
              <w:t>Using real-world objects, identify that the object is made of many smaller parts.</w:t>
            </w:r>
          </w:p>
        </w:tc>
        <w:tc>
          <w:tcPr>
            <w:tcW w:w="2538" w:type="dxa"/>
            <w:tcBorders>
              <w:top w:val="single" w:sz="18" w:space="0" w:color="AEAAAA" w:themeColor="background2" w:themeShade="BF"/>
              <w:left w:val="single" w:sz="8" w:space="0" w:color="D0CECE" w:themeColor="background2" w:themeShade="E6"/>
              <w:bottom w:val="single" w:sz="12" w:space="0" w:color="AEAAAA" w:themeColor="background2" w:themeShade="BF"/>
              <w:right w:val="single" w:sz="18" w:space="0" w:color="auto"/>
            </w:tcBorders>
          </w:tcPr>
          <w:p w:rsidR="003C15A4" w:rsidRPr="005A4A24" w:rsidRDefault="003C15A4" w:rsidP="00E506B9">
            <w:pPr>
              <w:rPr>
                <w:rFonts w:ascii="Arial" w:hAnsi="Arial" w:cs="Arial"/>
                <w:sz w:val="20"/>
              </w:rPr>
            </w:pPr>
            <w:r>
              <w:rPr>
                <w:rFonts w:ascii="Arial" w:hAnsi="Arial" w:cs="Arial"/>
                <w:sz w:val="20"/>
              </w:rPr>
              <w:t xml:space="preserve">Given a real-world, familiar object, </w:t>
            </w:r>
            <w:r w:rsidR="00E506B9" w:rsidRPr="00E506B9">
              <w:rPr>
                <w:rFonts w:ascii="Arial" w:hAnsi="Arial" w:cs="Arial"/>
                <w:sz w:val="20"/>
              </w:rPr>
              <w:t xml:space="preserve">recognize the difference between a part of the object and the object as a whole.  </w:t>
            </w:r>
          </w:p>
        </w:tc>
      </w:tr>
      <w:bookmarkEnd w:id="0"/>
      <w:tr w:rsidR="006407ED" w:rsidRPr="005A4A24" w:rsidTr="006A0F50">
        <w:trPr>
          <w:cantSplit/>
          <w:trHeight w:val="2648"/>
        </w:trPr>
        <w:tc>
          <w:tcPr>
            <w:tcW w:w="3365" w:type="dxa"/>
            <w:tcBorders>
              <w:top w:val="single" w:sz="12" w:space="0" w:color="AEAAAA" w:themeColor="background2" w:themeShade="BF"/>
              <w:left w:val="single" w:sz="18" w:space="0" w:color="auto"/>
              <w:bottom w:val="single" w:sz="12" w:space="0" w:color="AEAAAA" w:themeColor="background2" w:themeShade="BF"/>
              <w:right w:val="single" w:sz="8" w:space="0" w:color="D0CECE" w:themeColor="background2" w:themeShade="E6"/>
            </w:tcBorders>
            <w:shd w:val="clear" w:color="auto" w:fill="auto"/>
            <w:vAlign w:val="center"/>
          </w:tcPr>
          <w:p w:rsidR="006407ED" w:rsidRPr="005A4A24" w:rsidRDefault="006407ED" w:rsidP="009B56BB">
            <w:pPr>
              <w:autoSpaceDE w:val="0"/>
              <w:autoSpaceDN w:val="0"/>
              <w:adjustRightInd w:val="0"/>
              <w:rPr>
                <w:rFonts w:ascii="Arial" w:hAnsi="Arial" w:cs="Arial"/>
                <w:color w:val="000000"/>
                <w:sz w:val="24"/>
                <w:szCs w:val="24"/>
              </w:rPr>
            </w:pPr>
            <w:r w:rsidRPr="005A4A24">
              <w:rPr>
                <w:rFonts w:ascii="Arial" w:hAnsi="Arial" w:cs="Arial"/>
                <w:color w:val="000000"/>
                <w:sz w:val="24"/>
                <w:szCs w:val="24"/>
              </w:rPr>
              <w:t xml:space="preserve">SC.5.3.1.B </w:t>
            </w:r>
            <w:r w:rsidRPr="005A4A24">
              <w:rPr>
                <w:rFonts w:ascii="Arial" w:hAnsi="Arial" w:cs="Arial"/>
                <w:bCs/>
                <w:color w:val="000000"/>
                <w:sz w:val="24"/>
                <w:szCs w:val="24"/>
              </w:rPr>
              <w:t>Measure and graph quantities</w:t>
            </w:r>
            <w:r w:rsidRPr="005A4A24">
              <w:rPr>
                <w:rFonts w:ascii="Arial" w:hAnsi="Arial" w:cs="Arial"/>
                <w:b/>
                <w:bCs/>
                <w:color w:val="000000"/>
                <w:sz w:val="24"/>
                <w:szCs w:val="24"/>
              </w:rPr>
              <w:t xml:space="preserve"> </w:t>
            </w:r>
            <w:r w:rsidRPr="005A4A24">
              <w:rPr>
                <w:rFonts w:ascii="Arial" w:hAnsi="Arial" w:cs="Arial"/>
                <w:color w:val="000000"/>
                <w:sz w:val="24"/>
                <w:szCs w:val="24"/>
              </w:rPr>
              <w:t>to provide evidence that regardless of the type of change that occurs when heating, cooling, or mixing</w:t>
            </w:r>
            <w:r>
              <w:rPr>
                <w:rFonts w:ascii="Arial" w:hAnsi="Arial" w:cs="Arial"/>
                <w:color w:val="000000"/>
                <w:sz w:val="24"/>
                <w:szCs w:val="24"/>
              </w:rPr>
              <w:t xml:space="preserve"> </w:t>
            </w:r>
            <w:r w:rsidRPr="005A4A24">
              <w:rPr>
                <w:rFonts w:ascii="Arial" w:hAnsi="Arial" w:cs="Arial"/>
                <w:color w:val="000000"/>
                <w:sz w:val="24"/>
                <w:szCs w:val="24"/>
              </w:rPr>
              <w:t>substances</w:t>
            </w:r>
            <w:r>
              <w:rPr>
                <w:rFonts w:ascii="Arial" w:hAnsi="Arial" w:cs="Arial"/>
                <w:color w:val="000000"/>
                <w:sz w:val="24"/>
                <w:szCs w:val="24"/>
              </w:rPr>
              <w:t xml:space="preserve">, </w:t>
            </w:r>
            <w:r w:rsidRPr="005A4A24">
              <w:rPr>
                <w:rFonts w:ascii="Arial" w:hAnsi="Arial" w:cs="Arial"/>
                <w:color w:val="000000"/>
                <w:sz w:val="24"/>
                <w:szCs w:val="24"/>
              </w:rPr>
              <w:t xml:space="preserve">the total weight of matter is conserved. </w:t>
            </w:r>
            <w:r w:rsidRPr="005B6699">
              <w:rPr>
                <w:rFonts w:ascii="Arial" w:hAnsi="Arial" w:cs="Arial"/>
                <w:color w:val="808080" w:themeColor="background1" w:themeShade="80"/>
                <w:sz w:val="18"/>
                <w:szCs w:val="18"/>
              </w:rPr>
              <w:t>Assessment does not include</w:t>
            </w:r>
            <w:r w:rsidR="009B56BB">
              <w:rPr>
                <w:rFonts w:ascii="Arial" w:hAnsi="Arial" w:cs="Arial"/>
                <w:color w:val="808080" w:themeColor="background1" w:themeShade="80"/>
                <w:sz w:val="18"/>
                <w:szCs w:val="18"/>
              </w:rPr>
              <w:t xml:space="preserve"> </w:t>
            </w:r>
            <w:r w:rsidRPr="005B6699">
              <w:rPr>
                <w:rFonts w:ascii="Arial" w:hAnsi="Arial" w:cs="Arial"/>
                <w:color w:val="808080" w:themeColor="background1" w:themeShade="80"/>
                <w:sz w:val="18"/>
                <w:szCs w:val="18"/>
              </w:rPr>
              <w:t>distinguishing mass and weight.</w:t>
            </w:r>
          </w:p>
        </w:tc>
        <w:tc>
          <w:tcPr>
            <w:tcW w:w="3240" w:type="dxa"/>
            <w:tcBorders>
              <w:top w:val="single" w:sz="12" w:space="0" w:color="AEAAAA" w:themeColor="background2" w:themeShade="BF"/>
              <w:left w:val="single" w:sz="8" w:space="0" w:color="D0CECE" w:themeColor="background2" w:themeShade="E6"/>
              <w:bottom w:val="single" w:sz="12" w:space="0" w:color="AEAAAA" w:themeColor="background2" w:themeShade="BF"/>
              <w:right w:val="single" w:sz="18" w:space="0" w:color="auto"/>
            </w:tcBorders>
            <w:shd w:val="clear" w:color="auto" w:fill="auto"/>
          </w:tcPr>
          <w:p w:rsidR="006407ED" w:rsidRPr="00AF3576" w:rsidRDefault="006407ED" w:rsidP="006407ED">
            <w:pPr>
              <w:rPr>
                <w:rFonts w:ascii="Arial" w:hAnsi="Arial" w:cs="Arial"/>
                <w:sz w:val="20"/>
              </w:rPr>
            </w:pPr>
            <w:r w:rsidRPr="00AF3576">
              <w:rPr>
                <w:rFonts w:ascii="Arial" w:hAnsi="Arial" w:cs="Arial"/>
                <w:color w:val="000000"/>
                <w:sz w:val="20"/>
                <w:szCs w:val="20"/>
              </w:rPr>
              <w:t>Participate in investigations to demonstrate that heating, cooling, and mixing substances does not change their total weight.</w:t>
            </w:r>
          </w:p>
        </w:tc>
        <w:tc>
          <w:tcPr>
            <w:tcW w:w="2610" w:type="dxa"/>
            <w:tcBorders>
              <w:top w:val="single" w:sz="12" w:space="0" w:color="AEAAAA" w:themeColor="background2" w:themeShade="BF"/>
              <w:left w:val="single" w:sz="18" w:space="0" w:color="auto"/>
              <w:bottom w:val="single" w:sz="12" w:space="0" w:color="AEAAAA" w:themeColor="background2" w:themeShade="BF"/>
              <w:right w:val="single" w:sz="8" w:space="0" w:color="D0CECE" w:themeColor="background2" w:themeShade="E6"/>
            </w:tcBorders>
            <w:shd w:val="clear" w:color="auto" w:fill="auto"/>
          </w:tcPr>
          <w:p w:rsidR="006407ED" w:rsidRPr="00AF3576" w:rsidRDefault="006407ED" w:rsidP="006407ED">
            <w:pPr>
              <w:rPr>
                <w:rFonts w:ascii="Arial" w:hAnsi="Arial" w:cs="Arial"/>
                <w:sz w:val="20"/>
              </w:rPr>
            </w:pPr>
            <w:r w:rsidRPr="00AF3576">
              <w:rPr>
                <w:rFonts w:ascii="Arial" w:hAnsi="Arial" w:cs="Arial"/>
                <w:sz w:val="20"/>
              </w:rPr>
              <w:t xml:space="preserve">Use </w:t>
            </w:r>
            <w:r>
              <w:rPr>
                <w:rFonts w:ascii="Arial" w:hAnsi="Arial" w:cs="Arial"/>
                <w:sz w:val="20"/>
              </w:rPr>
              <w:t>data/</w:t>
            </w:r>
            <w:r w:rsidRPr="00AF3576">
              <w:rPr>
                <w:rFonts w:ascii="Arial" w:hAnsi="Arial" w:cs="Arial"/>
                <w:sz w:val="20"/>
              </w:rPr>
              <w:t>observation to identify that the weight of a substance before and after it is heated or cooled remains the same, and that the total weight of materials that are mixed together is equal to the weight of the individual parts of the mixture.</w:t>
            </w:r>
          </w:p>
        </w:tc>
        <w:tc>
          <w:tcPr>
            <w:tcW w:w="2527" w:type="dxa"/>
            <w:tcBorders>
              <w:top w:val="single" w:sz="12" w:space="0" w:color="AEAAAA" w:themeColor="background2" w:themeShade="BF"/>
              <w:left w:val="single" w:sz="8" w:space="0" w:color="D0CECE" w:themeColor="background2" w:themeShade="E6"/>
              <w:bottom w:val="single" w:sz="12" w:space="0" w:color="AEAAAA" w:themeColor="background2" w:themeShade="BF"/>
              <w:right w:val="single" w:sz="8" w:space="0" w:color="D0CECE" w:themeColor="background2" w:themeShade="E6"/>
            </w:tcBorders>
            <w:shd w:val="clear" w:color="auto" w:fill="auto"/>
          </w:tcPr>
          <w:p w:rsidR="006407ED" w:rsidRPr="00AF3576" w:rsidRDefault="006407ED" w:rsidP="006407ED">
            <w:pPr>
              <w:rPr>
                <w:rFonts w:ascii="Arial" w:hAnsi="Arial" w:cs="Arial"/>
                <w:sz w:val="20"/>
              </w:rPr>
            </w:pPr>
            <w:r w:rsidRPr="00AF3576">
              <w:rPr>
                <w:rFonts w:ascii="Arial" w:hAnsi="Arial" w:cs="Arial"/>
                <w:sz w:val="20"/>
              </w:rPr>
              <w:t>Identify that when a solid is melted, it has the same weight, and when a liquid is frozen</w:t>
            </w:r>
            <w:r w:rsidR="004F23C5">
              <w:rPr>
                <w:rFonts w:ascii="Arial" w:hAnsi="Arial" w:cs="Arial"/>
                <w:sz w:val="20"/>
              </w:rPr>
              <w:t>,</w:t>
            </w:r>
            <w:r w:rsidRPr="00AF3576">
              <w:rPr>
                <w:rFonts w:ascii="Arial" w:hAnsi="Arial" w:cs="Arial"/>
                <w:sz w:val="20"/>
              </w:rPr>
              <w:t xml:space="preserve"> it has the same weight. </w:t>
            </w:r>
          </w:p>
        </w:tc>
        <w:tc>
          <w:tcPr>
            <w:tcW w:w="2538" w:type="dxa"/>
            <w:tcBorders>
              <w:top w:val="single" w:sz="12" w:space="0" w:color="AEAAAA" w:themeColor="background2" w:themeShade="BF"/>
              <w:left w:val="single" w:sz="8" w:space="0" w:color="D0CECE" w:themeColor="background2" w:themeShade="E6"/>
              <w:bottom w:val="single" w:sz="12" w:space="0" w:color="AEAAAA" w:themeColor="background2" w:themeShade="BF"/>
              <w:right w:val="single" w:sz="18" w:space="0" w:color="auto"/>
            </w:tcBorders>
            <w:shd w:val="clear" w:color="auto" w:fill="auto"/>
          </w:tcPr>
          <w:p w:rsidR="006407ED" w:rsidRPr="00AF3576" w:rsidRDefault="006407ED" w:rsidP="006407ED">
            <w:pPr>
              <w:rPr>
                <w:rFonts w:ascii="Arial" w:hAnsi="Arial" w:cs="Arial"/>
                <w:sz w:val="20"/>
              </w:rPr>
            </w:pPr>
            <w:r w:rsidRPr="00AF3576">
              <w:rPr>
                <w:rFonts w:ascii="Arial" w:hAnsi="Arial" w:cs="Arial"/>
                <w:sz w:val="20"/>
              </w:rPr>
              <w:t xml:space="preserve">Recognize that </w:t>
            </w:r>
            <w:r>
              <w:rPr>
                <w:rFonts w:ascii="Arial" w:hAnsi="Arial" w:cs="Arial"/>
                <w:sz w:val="20"/>
              </w:rPr>
              <w:t>the</w:t>
            </w:r>
            <w:r w:rsidRPr="00AF3576">
              <w:rPr>
                <w:rFonts w:ascii="Arial" w:hAnsi="Arial" w:cs="Arial"/>
                <w:sz w:val="20"/>
              </w:rPr>
              <w:t xml:space="preserve"> weight</w:t>
            </w:r>
            <w:r>
              <w:rPr>
                <w:rFonts w:ascii="Arial" w:hAnsi="Arial" w:cs="Arial"/>
                <w:sz w:val="20"/>
              </w:rPr>
              <w:t xml:space="preserve"> of an object is measured using a scale</w:t>
            </w:r>
            <w:r w:rsidRPr="00AF3576">
              <w:rPr>
                <w:rFonts w:ascii="Arial" w:hAnsi="Arial" w:cs="Arial"/>
                <w:sz w:val="20"/>
              </w:rPr>
              <w:t xml:space="preserve">. </w:t>
            </w:r>
          </w:p>
        </w:tc>
      </w:tr>
      <w:tr w:rsidR="006A0F50" w:rsidRPr="005A4A24" w:rsidTr="006A0F50">
        <w:trPr>
          <w:cantSplit/>
          <w:trHeight w:val="1802"/>
        </w:trPr>
        <w:tc>
          <w:tcPr>
            <w:tcW w:w="3365" w:type="dxa"/>
            <w:tcBorders>
              <w:top w:val="single" w:sz="12" w:space="0" w:color="AEAAAA" w:themeColor="background2" w:themeShade="BF"/>
              <w:left w:val="single" w:sz="18" w:space="0" w:color="auto"/>
              <w:bottom w:val="single" w:sz="18" w:space="0" w:color="auto"/>
              <w:right w:val="single" w:sz="8" w:space="0" w:color="D0CECE" w:themeColor="background2" w:themeShade="E6"/>
            </w:tcBorders>
            <w:shd w:val="clear" w:color="auto" w:fill="auto"/>
          </w:tcPr>
          <w:p w:rsidR="006A0F50" w:rsidRPr="005A4A24" w:rsidRDefault="006A0F50" w:rsidP="006A0F50">
            <w:pPr>
              <w:autoSpaceDE w:val="0"/>
              <w:autoSpaceDN w:val="0"/>
              <w:adjustRightInd w:val="0"/>
              <w:rPr>
                <w:rFonts w:ascii="Arial" w:hAnsi="Arial" w:cs="Arial"/>
                <w:color w:val="000000"/>
                <w:sz w:val="24"/>
                <w:szCs w:val="24"/>
              </w:rPr>
            </w:pPr>
            <w:r w:rsidRPr="005A4A24">
              <w:rPr>
                <w:rFonts w:ascii="Arial" w:hAnsi="Arial" w:cs="Arial"/>
                <w:color w:val="000000"/>
                <w:sz w:val="24"/>
                <w:szCs w:val="24"/>
              </w:rPr>
              <w:t xml:space="preserve">SC.5.3.1.C </w:t>
            </w:r>
            <w:r w:rsidRPr="005A4A24">
              <w:rPr>
                <w:rFonts w:ascii="Arial" w:hAnsi="Arial" w:cs="Arial"/>
                <w:bCs/>
                <w:color w:val="000000"/>
                <w:sz w:val="24"/>
                <w:szCs w:val="24"/>
              </w:rPr>
              <w:t>Make observations and measurements</w:t>
            </w:r>
            <w:r w:rsidRPr="005A4A24">
              <w:rPr>
                <w:rFonts w:ascii="Arial" w:hAnsi="Arial" w:cs="Arial"/>
                <w:b/>
                <w:bCs/>
                <w:color w:val="000000"/>
                <w:sz w:val="24"/>
                <w:szCs w:val="24"/>
              </w:rPr>
              <w:t xml:space="preserve"> </w:t>
            </w:r>
            <w:r w:rsidRPr="005A4A24">
              <w:rPr>
                <w:rFonts w:ascii="Arial" w:hAnsi="Arial" w:cs="Arial"/>
                <w:color w:val="000000"/>
                <w:sz w:val="24"/>
                <w:szCs w:val="24"/>
              </w:rPr>
              <w:t xml:space="preserve">to identify materials based on their properties. </w:t>
            </w:r>
          </w:p>
          <w:p w:rsidR="006A0F50" w:rsidRPr="005B6699" w:rsidRDefault="006A0F50" w:rsidP="006A0F50">
            <w:pPr>
              <w:autoSpaceDE w:val="0"/>
              <w:autoSpaceDN w:val="0"/>
              <w:adjustRightInd w:val="0"/>
              <w:rPr>
                <w:rFonts w:ascii="Arial" w:hAnsi="Arial" w:cs="Arial"/>
                <w:color w:val="000000"/>
                <w:sz w:val="18"/>
                <w:szCs w:val="18"/>
              </w:rPr>
            </w:pPr>
            <w:r w:rsidRPr="005B6699">
              <w:rPr>
                <w:rFonts w:ascii="Arial" w:hAnsi="Arial" w:cs="Arial"/>
                <w:color w:val="666666"/>
                <w:sz w:val="18"/>
                <w:szCs w:val="18"/>
              </w:rPr>
              <w:t>Assessment does not include density or distinguishing mass and</w:t>
            </w:r>
            <w:r w:rsidRPr="005B6699">
              <w:rPr>
                <w:rFonts w:ascii="Arial" w:hAnsi="Arial" w:cs="Arial"/>
                <w:color w:val="000000"/>
                <w:sz w:val="18"/>
                <w:szCs w:val="18"/>
              </w:rPr>
              <w:t xml:space="preserve"> </w:t>
            </w:r>
            <w:r w:rsidRPr="005B6699">
              <w:rPr>
                <w:rFonts w:ascii="Arial" w:hAnsi="Arial" w:cs="Arial"/>
                <w:color w:val="666666"/>
                <w:sz w:val="18"/>
                <w:szCs w:val="18"/>
              </w:rPr>
              <w:t>weight.</w:t>
            </w:r>
          </w:p>
        </w:tc>
        <w:tc>
          <w:tcPr>
            <w:tcW w:w="3240" w:type="dxa"/>
            <w:tcBorders>
              <w:top w:val="single" w:sz="12" w:space="0" w:color="AEAAAA" w:themeColor="background2" w:themeShade="BF"/>
              <w:left w:val="single" w:sz="8" w:space="0" w:color="D0CECE" w:themeColor="background2" w:themeShade="E6"/>
              <w:bottom w:val="single" w:sz="18" w:space="0" w:color="auto"/>
              <w:right w:val="single" w:sz="18" w:space="0" w:color="auto"/>
            </w:tcBorders>
            <w:shd w:val="clear" w:color="auto" w:fill="auto"/>
          </w:tcPr>
          <w:p w:rsidR="006A0F50" w:rsidRPr="006F00FE" w:rsidRDefault="006A0F50" w:rsidP="006A0F50">
            <w:pPr>
              <w:rPr>
                <w:rFonts w:ascii="Arial" w:hAnsi="Arial" w:cs="Arial"/>
                <w:sz w:val="20"/>
              </w:rPr>
            </w:pPr>
            <w:r w:rsidRPr="006F00FE">
              <w:rPr>
                <w:rFonts w:ascii="Arial" w:hAnsi="Arial" w:cs="Arial"/>
                <w:sz w:val="20"/>
              </w:rPr>
              <w:t>Participate in investigations to identify materials based on physical properties (color, shape, size, texture, weight, temperature) that can be observed or measured.</w:t>
            </w:r>
          </w:p>
        </w:tc>
        <w:tc>
          <w:tcPr>
            <w:tcW w:w="2610" w:type="dxa"/>
            <w:tcBorders>
              <w:top w:val="single" w:sz="12" w:space="0" w:color="AEAAAA" w:themeColor="background2" w:themeShade="BF"/>
              <w:left w:val="single" w:sz="18" w:space="0" w:color="auto"/>
              <w:bottom w:val="single" w:sz="18" w:space="0" w:color="auto"/>
              <w:right w:val="single" w:sz="8" w:space="0" w:color="D0CECE" w:themeColor="background2" w:themeShade="E6"/>
            </w:tcBorders>
            <w:shd w:val="clear" w:color="auto" w:fill="auto"/>
          </w:tcPr>
          <w:p w:rsidR="006A0F50" w:rsidRPr="006F00FE" w:rsidRDefault="006A0F50" w:rsidP="006A0F50">
            <w:pPr>
              <w:rPr>
                <w:rFonts w:ascii="Arial" w:hAnsi="Arial" w:cs="Arial"/>
                <w:sz w:val="20"/>
              </w:rPr>
            </w:pPr>
            <w:r w:rsidRPr="006F00FE">
              <w:rPr>
                <w:rFonts w:ascii="Arial" w:hAnsi="Arial" w:cs="Arial"/>
                <w:sz w:val="20"/>
              </w:rPr>
              <w:t>Given m</w:t>
            </w:r>
            <w:r w:rsidR="00070572">
              <w:rPr>
                <w:rFonts w:ascii="Arial" w:hAnsi="Arial" w:cs="Arial"/>
                <w:sz w:val="20"/>
              </w:rPr>
              <w:t>aterials, use observable/measur</w:t>
            </w:r>
            <w:r w:rsidRPr="006F00FE">
              <w:rPr>
                <w:rFonts w:ascii="Arial" w:hAnsi="Arial" w:cs="Arial"/>
                <w:sz w:val="20"/>
              </w:rPr>
              <w:t>able physical properties to identify the materials or categorize the materials based on common properties.</w:t>
            </w:r>
          </w:p>
        </w:tc>
        <w:tc>
          <w:tcPr>
            <w:tcW w:w="2527" w:type="dxa"/>
            <w:tcBorders>
              <w:top w:val="single" w:sz="12" w:space="0" w:color="AEAAAA" w:themeColor="background2" w:themeShade="BF"/>
              <w:left w:val="single" w:sz="8" w:space="0" w:color="D0CECE" w:themeColor="background2" w:themeShade="E6"/>
              <w:bottom w:val="single" w:sz="18" w:space="0" w:color="auto"/>
              <w:right w:val="single" w:sz="8" w:space="0" w:color="D0CECE" w:themeColor="background2" w:themeShade="E6"/>
            </w:tcBorders>
            <w:shd w:val="clear" w:color="auto" w:fill="auto"/>
          </w:tcPr>
          <w:p w:rsidR="006A0F50" w:rsidRPr="006F00FE" w:rsidRDefault="006A0F50" w:rsidP="006A0F50">
            <w:pPr>
              <w:rPr>
                <w:rFonts w:ascii="Arial" w:hAnsi="Arial" w:cs="Arial"/>
                <w:sz w:val="20"/>
              </w:rPr>
            </w:pPr>
            <w:r w:rsidRPr="006F00FE">
              <w:rPr>
                <w:rFonts w:ascii="Arial" w:hAnsi="Arial" w:cs="Arial"/>
                <w:sz w:val="20"/>
              </w:rPr>
              <w:t>Given a material, identify two or more physical properties of the material.</w:t>
            </w:r>
          </w:p>
        </w:tc>
        <w:tc>
          <w:tcPr>
            <w:tcW w:w="2538" w:type="dxa"/>
            <w:tcBorders>
              <w:top w:val="single" w:sz="12" w:space="0" w:color="AEAAAA" w:themeColor="background2" w:themeShade="BF"/>
              <w:left w:val="single" w:sz="8" w:space="0" w:color="D0CECE" w:themeColor="background2" w:themeShade="E6"/>
              <w:bottom w:val="single" w:sz="18" w:space="0" w:color="auto"/>
              <w:right w:val="single" w:sz="18" w:space="0" w:color="auto"/>
            </w:tcBorders>
            <w:shd w:val="clear" w:color="auto" w:fill="auto"/>
          </w:tcPr>
          <w:p w:rsidR="006A0F50" w:rsidRPr="006F00FE" w:rsidRDefault="006A0F50" w:rsidP="006A0F50">
            <w:pPr>
              <w:rPr>
                <w:rFonts w:ascii="Arial" w:hAnsi="Arial" w:cs="Arial"/>
                <w:sz w:val="20"/>
              </w:rPr>
            </w:pPr>
            <w:r w:rsidRPr="006F00FE">
              <w:rPr>
                <w:rFonts w:ascii="Arial" w:hAnsi="Arial" w:cs="Arial"/>
                <w:sz w:val="20"/>
              </w:rPr>
              <w:t xml:space="preserve">Given two materials with opposite physical properties, </w:t>
            </w:r>
            <w:r>
              <w:rPr>
                <w:rFonts w:ascii="Arial" w:hAnsi="Arial" w:cs="Arial"/>
                <w:sz w:val="20"/>
              </w:rPr>
              <w:t>recognize</w:t>
            </w:r>
            <w:r w:rsidRPr="006F00FE">
              <w:rPr>
                <w:rFonts w:ascii="Arial" w:hAnsi="Arial" w:cs="Arial"/>
                <w:sz w:val="20"/>
              </w:rPr>
              <w:t xml:space="preserve"> the material with a specified physical property.</w:t>
            </w:r>
          </w:p>
        </w:tc>
      </w:tr>
    </w:tbl>
    <w:p w:rsidR="006407ED" w:rsidRDefault="006407ED"/>
    <w:tbl>
      <w:tblPr>
        <w:tblStyle w:val="TableGrid"/>
        <w:tblpPr w:leftFromText="187" w:rightFromText="187" w:vertAnchor="page" w:horzAnchor="margin" w:tblpY="931"/>
        <w:tblW w:w="14337" w:type="dxa"/>
        <w:tblBorders>
          <w:top w:val="single" w:sz="18" w:space="0" w:color="auto"/>
          <w:left w:val="single" w:sz="18" w:space="0" w:color="auto"/>
          <w:bottom w:val="single" w:sz="18" w:space="0" w:color="auto"/>
          <w:right w:val="single" w:sz="18" w:space="0" w:color="auto"/>
          <w:insideH w:val="none" w:sz="0" w:space="0" w:color="auto"/>
          <w:insideV w:val="single" w:sz="12" w:space="0" w:color="A5A5A5" w:themeColor="accent3"/>
        </w:tblBorders>
        <w:tblCellMar>
          <w:top w:w="58" w:type="dxa"/>
          <w:left w:w="115" w:type="dxa"/>
          <w:bottom w:w="58" w:type="dxa"/>
          <w:right w:w="115" w:type="dxa"/>
        </w:tblCellMar>
        <w:tblLook w:val="04A0" w:firstRow="1" w:lastRow="0" w:firstColumn="1" w:lastColumn="0" w:noHBand="0" w:noVBand="1"/>
      </w:tblPr>
      <w:tblGrid>
        <w:gridCol w:w="3379"/>
        <w:gridCol w:w="3253"/>
        <w:gridCol w:w="2620"/>
        <w:gridCol w:w="2537"/>
        <w:gridCol w:w="2548"/>
      </w:tblGrid>
      <w:tr w:rsidR="00104E01" w:rsidRPr="005A4A24" w:rsidTr="00BC350B">
        <w:trPr>
          <w:cantSplit/>
          <w:trHeight w:val="1379"/>
        </w:trPr>
        <w:tc>
          <w:tcPr>
            <w:tcW w:w="3379" w:type="dxa"/>
          </w:tcPr>
          <w:p w:rsidR="00104E01" w:rsidRPr="005A4A24" w:rsidRDefault="00231625" w:rsidP="00231625">
            <w:pPr>
              <w:autoSpaceDE w:val="0"/>
              <w:autoSpaceDN w:val="0"/>
              <w:adjustRightInd w:val="0"/>
              <w:rPr>
                <w:rFonts w:ascii="Arial" w:hAnsi="Arial" w:cs="Arial"/>
                <w:sz w:val="24"/>
                <w:szCs w:val="24"/>
              </w:rPr>
            </w:pPr>
            <w:r w:rsidRPr="005A4A24">
              <w:rPr>
                <w:rFonts w:ascii="Arial" w:hAnsi="Arial" w:cs="Arial"/>
                <w:sz w:val="24"/>
                <w:szCs w:val="24"/>
              </w:rPr>
              <w:lastRenderedPageBreak/>
              <w:t xml:space="preserve">SC.5.3.1.D </w:t>
            </w:r>
            <w:r w:rsidRPr="005A4A24">
              <w:rPr>
                <w:rFonts w:ascii="Arial" w:hAnsi="Arial" w:cs="Arial"/>
                <w:bCs/>
                <w:sz w:val="24"/>
                <w:szCs w:val="24"/>
              </w:rPr>
              <w:t>Conduct an investigation</w:t>
            </w:r>
            <w:r w:rsidRPr="005A4A24">
              <w:rPr>
                <w:rFonts w:ascii="Arial" w:hAnsi="Arial" w:cs="Arial"/>
                <w:b/>
                <w:bCs/>
                <w:sz w:val="24"/>
                <w:szCs w:val="24"/>
              </w:rPr>
              <w:t xml:space="preserve"> </w:t>
            </w:r>
            <w:r w:rsidRPr="005A4A24">
              <w:rPr>
                <w:rFonts w:ascii="Arial" w:hAnsi="Arial" w:cs="Arial"/>
                <w:sz w:val="24"/>
                <w:szCs w:val="24"/>
              </w:rPr>
              <w:t>to determine whether the mixing of two or more substances results in new substances.</w:t>
            </w:r>
          </w:p>
        </w:tc>
        <w:tc>
          <w:tcPr>
            <w:tcW w:w="3253" w:type="dxa"/>
          </w:tcPr>
          <w:p w:rsidR="003A1A9A" w:rsidRPr="001C0163" w:rsidRDefault="00DB6E26" w:rsidP="00104E01">
            <w:pPr>
              <w:rPr>
                <w:rFonts w:ascii="Arial" w:hAnsi="Arial" w:cs="Arial"/>
                <w:sz w:val="20"/>
              </w:rPr>
            </w:pPr>
            <w:r w:rsidRPr="001C0163">
              <w:rPr>
                <w:rFonts w:ascii="Arial" w:hAnsi="Arial" w:cs="Arial"/>
                <w:sz w:val="20"/>
              </w:rPr>
              <w:t>Participate in investigations to determine whether</w:t>
            </w:r>
            <w:r w:rsidR="004D6D1C" w:rsidRPr="001C0163">
              <w:rPr>
                <w:rFonts w:ascii="Arial" w:hAnsi="Arial" w:cs="Arial"/>
                <w:sz w:val="20"/>
              </w:rPr>
              <w:t xml:space="preserve"> mixing two or more substances results in </w:t>
            </w:r>
            <w:r w:rsidRPr="001C0163">
              <w:rPr>
                <w:rFonts w:ascii="Arial" w:hAnsi="Arial" w:cs="Arial"/>
                <w:sz w:val="20"/>
              </w:rPr>
              <w:t>the formation of a new substance</w:t>
            </w:r>
            <w:r w:rsidR="004D6D1C" w:rsidRPr="001C0163">
              <w:rPr>
                <w:rFonts w:ascii="Arial" w:hAnsi="Arial" w:cs="Arial"/>
                <w:sz w:val="20"/>
              </w:rPr>
              <w:t>.</w:t>
            </w:r>
          </w:p>
        </w:tc>
        <w:tc>
          <w:tcPr>
            <w:tcW w:w="2620" w:type="dxa"/>
          </w:tcPr>
          <w:p w:rsidR="00B80E8E" w:rsidRPr="005A4A24" w:rsidRDefault="00DB6E26" w:rsidP="00294835">
            <w:pPr>
              <w:rPr>
                <w:rFonts w:ascii="Arial" w:hAnsi="Arial" w:cs="Arial"/>
                <w:sz w:val="20"/>
              </w:rPr>
            </w:pPr>
            <w:r>
              <w:rPr>
                <w:rFonts w:ascii="Arial" w:hAnsi="Arial" w:cs="Arial"/>
                <w:sz w:val="20"/>
              </w:rPr>
              <w:t>Compare the observable properties of two or more substances before and after they are mixed to explain whether</w:t>
            </w:r>
            <w:r w:rsidR="00294835" w:rsidRPr="005A4A24">
              <w:rPr>
                <w:rFonts w:ascii="Arial" w:hAnsi="Arial" w:cs="Arial"/>
                <w:sz w:val="20"/>
              </w:rPr>
              <w:t xml:space="preserve"> a new substance</w:t>
            </w:r>
            <w:r w:rsidR="000D0108">
              <w:rPr>
                <w:rFonts w:ascii="Arial" w:hAnsi="Arial" w:cs="Arial"/>
                <w:sz w:val="20"/>
              </w:rPr>
              <w:t xml:space="preserve"> with different properties</w:t>
            </w:r>
            <w:r w:rsidR="00294835" w:rsidRPr="005A4A24">
              <w:rPr>
                <w:rFonts w:ascii="Arial" w:hAnsi="Arial" w:cs="Arial"/>
                <w:sz w:val="20"/>
              </w:rPr>
              <w:t xml:space="preserve"> was formed. </w:t>
            </w:r>
            <w:r w:rsidR="00104E01" w:rsidRPr="005A4A24">
              <w:rPr>
                <w:rFonts w:ascii="Arial" w:hAnsi="Arial" w:cs="Arial"/>
                <w:sz w:val="20"/>
              </w:rPr>
              <w:t xml:space="preserve"> </w:t>
            </w:r>
          </w:p>
        </w:tc>
        <w:tc>
          <w:tcPr>
            <w:tcW w:w="2537" w:type="dxa"/>
          </w:tcPr>
          <w:p w:rsidR="00B80E8E" w:rsidRPr="005A4A24" w:rsidRDefault="00294835" w:rsidP="001C0163">
            <w:pPr>
              <w:rPr>
                <w:rFonts w:ascii="Arial" w:hAnsi="Arial" w:cs="Arial"/>
                <w:sz w:val="20"/>
              </w:rPr>
            </w:pPr>
            <w:r w:rsidRPr="005A4A24">
              <w:rPr>
                <w:rFonts w:ascii="Arial" w:hAnsi="Arial" w:cs="Arial"/>
                <w:sz w:val="20"/>
              </w:rPr>
              <w:t xml:space="preserve">Identify </w:t>
            </w:r>
            <w:r w:rsidR="00DB6E26">
              <w:rPr>
                <w:rFonts w:ascii="Arial" w:hAnsi="Arial" w:cs="Arial"/>
                <w:sz w:val="20"/>
              </w:rPr>
              <w:t xml:space="preserve">evidence of the formation of </w:t>
            </w:r>
            <w:r w:rsidRPr="005A4A24">
              <w:rPr>
                <w:rFonts w:ascii="Arial" w:hAnsi="Arial" w:cs="Arial"/>
                <w:sz w:val="20"/>
              </w:rPr>
              <w:t xml:space="preserve">a new substance </w:t>
            </w:r>
            <w:r w:rsidR="001C0163">
              <w:rPr>
                <w:rFonts w:ascii="Arial" w:hAnsi="Arial" w:cs="Arial"/>
                <w:sz w:val="20"/>
              </w:rPr>
              <w:t xml:space="preserve">after two or more substances are mixed. </w:t>
            </w:r>
          </w:p>
        </w:tc>
        <w:tc>
          <w:tcPr>
            <w:tcW w:w="2548" w:type="dxa"/>
          </w:tcPr>
          <w:p w:rsidR="00E506B9" w:rsidRDefault="00BD5BFE" w:rsidP="006407ED">
            <w:pPr>
              <w:rPr>
                <w:rFonts w:ascii="Arial" w:hAnsi="Arial" w:cs="Arial"/>
                <w:sz w:val="20"/>
              </w:rPr>
            </w:pPr>
            <w:r>
              <w:rPr>
                <w:rFonts w:ascii="Arial" w:hAnsi="Arial" w:cs="Arial"/>
                <w:sz w:val="20"/>
              </w:rPr>
              <w:t>Recognize</w:t>
            </w:r>
            <w:r w:rsidR="001C0163">
              <w:rPr>
                <w:rFonts w:ascii="Arial" w:hAnsi="Arial" w:cs="Arial"/>
                <w:sz w:val="20"/>
              </w:rPr>
              <w:t xml:space="preserve"> when two or more substances have been mixed</w:t>
            </w:r>
            <w:r w:rsidR="002F51F8">
              <w:rPr>
                <w:rFonts w:ascii="Arial" w:hAnsi="Arial" w:cs="Arial"/>
                <w:sz w:val="20"/>
              </w:rPr>
              <w:t xml:space="preserve"> </w:t>
            </w:r>
            <w:r w:rsidR="001C0163">
              <w:rPr>
                <w:rFonts w:ascii="Arial" w:hAnsi="Arial" w:cs="Arial"/>
                <w:sz w:val="20"/>
              </w:rPr>
              <w:t>or not</w:t>
            </w:r>
            <w:r w:rsidR="00E506B9">
              <w:rPr>
                <w:rFonts w:ascii="Arial" w:hAnsi="Arial" w:cs="Arial"/>
                <w:sz w:val="20"/>
              </w:rPr>
              <w:t xml:space="preserve"> mixed</w:t>
            </w:r>
            <w:r w:rsidR="001C0163">
              <w:rPr>
                <w:rFonts w:ascii="Arial" w:hAnsi="Arial" w:cs="Arial"/>
                <w:sz w:val="20"/>
              </w:rPr>
              <w:t>.</w:t>
            </w:r>
          </w:p>
          <w:p w:rsidR="00CA1862" w:rsidRDefault="00CA1862" w:rsidP="006407ED">
            <w:pPr>
              <w:rPr>
                <w:rFonts w:ascii="Arial" w:hAnsi="Arial" w:cs="Arial"/>
                <w:sz w:val="20"/>
              </w:rPr>
            </w:pPr>
          </w:p>
          <w:p w:rsidR="00CA1862" w:rsidRPr="005A4A24" w:rsidRDefault="002F51F8" w:rsidP="006407ED">
            <w:pPr>
              <w:rPr>
                <w:rFonts w:ascii="Arial" w:hAnsi="Arial" w:cs="Arial"/>
                <w:sz w:val="20"/>
              </w:rPr>
            </w:pPr>
            <w:r>
              <w:rPr>
                <w:rFonts w:ascii="Arial" w:hAnsi="Arial" w:cs="Arial"/>
                <w:color w:val="FF0000"/>
                <w:sz w:val="20"/>
              </w:rPr>
              <w:t xml:space="preserve"> </w:t>
            </w:r>
          </w:p>
        </w:tc>
      </w:tr>
    </w:tbl>
    <w:p w:rsidR="00803BE1" w:rsidRPr="00BC350B" w:rsidRDefault="00803BE1" w:rsidP="00BC350B">
      <w:pPr>
        <w:tabs>
          <w:tab w:val="left" w:pos="9612"/>
        </w:tabs>
      </w:pPr>
    </w:p>
    <w:sectPr w:rsidR="00803BE1" w:rsidRPr="00BC350B" w:rsidSect="00916C1C">
      <w:footerReference w:type="default" r:id="rId7"/>
      <w:pgSz w:w="15840" w:h="12240" w:orient="landscape"/>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F4E" w:rsidRDefault="008E7F4E" w:rsidP="00F26767">
      <w:pPr>
        <w:spacing w:after="0" w:line="240" w:lineRule="auto"/>
      </w:pPr>
      <w:r>
        <w:separator/>
      </w:r>
    </w:p>
  </w:endnote>
  <w:endnote w:type="continuationSeparator" w:id="0">
    <w:p w:rsidR="008E7F4E" w:rsidRDefault="008E7F4E" w:rsidP="00F2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96478"/>
      <w:docPartObj>
        <w:docPartGallery w:val="Page Numbers (Bottom of Page)"/>
        <w:docPartUnique/>
      </w:docPartObj>
    </w:sdtPr>
    <w:sdtContent>
      <w:sdt>
        <w:sdtPr>
          <w:id w:val="1728636285"/>
          <w:docPartObj>
            <w:docPartGallery w:val="Page Numbers (Top of Page)"/>
            <w:docPartUnique/>
          </w:docPartObj>
        </w:sdtPr>
        <w:sdtContent>
          <w:p w:rsidR="003051D8" w:rsidRDefault="003051D8">
            <w:pPr>
              <w:pStyle w:val="Footer"/>
              <w:jc w:val="center"/>
            </w:pPr>
            <w:r>
              <w:t>NE Science Extensions_Gr5_PS_FINAL DRAFT_10.14.20</w:t>
            </w:r>
          </w:p>
          <w:p w:rsidR="003051D8" w:rsidRDefault="00305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F5709" w:rsidRPr="0007151B" w:rsidRDefault="00DF5709" w:rsidP="0007151B">
    <w:pPr>
      <w:pStyle w:val="Footer"/>
      <w:tabs>
        <w:tab w:val="clear" w:pos="4680"/>
        <w:tab w:val="clear" w:pos="9360"/>
      </w:tabs>
      <w:jc w:val="center"/>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F4E" w:rsidRDefault="008E7F4E" w:rsidP="00F26767">
      <w:pPr>
        <w:spacing w:after="0" w:line="240" w:lineRule="auto"/>
      </w:pPr>
      <w:r>
        <w:separator/>
      </w:r>
    </w:p>
  </w:footnote>
  <w:footnote w:type="continuationSeparator" w:id="0">
    <w:p w:rsidR="008E7F4E" w:rsidRDefault="008E7F4E" w:rsidP="00F26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5E"/>
    <w:rsid w:val="00004170"/>
    <w:rsid w:val="0000565C"/>
    <w:rsid w:val="00030F3B"/>
    <w:rsid w:val="00035DF4"/>
    <w:rsid w:val="00057475"/>
    <w:rsid w:val="00070572"/>
    <w:rsid w:val="0007151B"/>
    <w:rsid w:val="00085857"/>
    <w:rsid w:val="00087230"/>
    <w:rsid w:val="000C6184"/>
    <w:rsid w:val="000C6C09"/>
    <w:rsid w:val="000D0108"/>
    <w:rsid w:val="00104E01"/>
    <w:rsid w:val="00113A5C"/>
    <w:rsid w:val="00135555"/>
    <w:rsid w:val="0013587A"/>
    <w:rsid w:val="001405FF"/>
    <w:rsid w:val="00171B25"/>
    <w:rsid w:val="00182B08"/>
    <w:rsid w:val="001845A7"/>
    <w:rsid w:val="001914B2"/>
    <w:rsid w:val="001A4BDB"/>
    <w:rsid w:val="001A6681"/>
    <w:rsid w:val="001B21DF"/>
    <w:rsid w:val="001B39B9"/>
    <w:rsid w:val="001B67BA"/>
    <w:rsid w:val="001C0163"/>
    <w:rsid w:val="001C228D"/>
    <w:rsid w:val="001C3326"/>
    <w:rsid w:val="001D505E"/>
    <w:rsid w:val="001D72A4"/>
    <w:rsid w:val="001F4DA0"/>
    <w:rsid w:val="001F779D"/>
    <w:rsid w:val="00231625"/>
    <w:rsid w:val="00251EE5"/>
    <w:rsid w:val="00256DD2"/>
    <w:rsid w:val="00266C5B"/>
    <w:rsid w:val="00294835"/>
    <w:rsid w:val="00297CF8"/>
    <w:rsid w:val="002A730C"/>
    <w:rsid w:val="002C4823"/>
    <w:rsid w:val="002D319E"/>
    <w:rsid w:val="002F1408"/>
    <w:rsid w:val="002F4549"/>
    <w:rsid w:val="002F51F8"/>
    <w:rsid w:val="003033DE"/>
    <w:rsid w:val="003051D8"/>
    <w:rsid w:val="00316E38"/>
    <w:rsid w:val="00331888"/>
    <w:rsid w:val="00341371"/>
    <w:rsid w:val="00356B3C"/>
    <w:rsid w:val="003606DE"/>
    <w:rsid w:val="00363699"/>
    <w:rsid w:val="00370452"/>
    <w:rsid w:val="0037174E"/>
    <w:rsid w:val="00371C88"/>
    <w:rsid w:val="003872FF"/>
    <w:rsid w:val="003A1A9A"/>
    <w:rsid w:val="003A3A45"/>
    <w:rsid w:val="003B1748"/>
    <w:rsid w:val="003B5D27"/>
    <w:rsid w:val="003B7A2E"/>
    <w:rsid w:val="003C15A4"/>
    <w:rsid w:val="003C536E"/>
    <w:rsid w:val="003E41E9"/>
    <w:rsid w:val="003F7397"/>
    <w:rsid w:val="003F7486"/>
    <w:rsid w:val="004344A6"/>
    <w:rsid w:val="00441815"/>
    <w:rsid w:val="004445CB"/>
    <w:rsid w:val="00444BF9"/>
    <w:rsid w:val="004705AF"/>
    <w:rsid w:val="00472175"/>
    <w:rsid w:val="004761DE"/>
    <w:rsid w:val="004A06F1"/>
    <w:rsid w:val="004A253E"/>
    <w:rsid w:val="004C1F5E"/>
    <w:rsid w:val="004D1B5F"/>
    <w:rsid w:val="004D6D1C"/>
    <w:rsid w:val="004F23C5"/>
    <w:rsid w:val="005029B2"/>
    <w:rsid w:val="005130D9"/>
    <w:rsid w:val="00520F4C"/>
    <w:rsid w:val="00530424"/>
    <w:rsid w:val="00530DF1"/>
    <w:rsid w:val="005606DF"/>
    <w:rsid w:val="0056474D"/>
    <w:rsid w:val="00582209"/>
    <w:rsid w:val="005A2C63"/>
    <w:rsid w:val="005A4A24"/>
    <w:rsid w:val="005A711D"/>
    <w:rsid w:val="005B6699"/>
    <w:rsid w:val="005B7E09"/>
    <w:rsid w:val="005D770D"/>
    <w:rsid w:val="005F5809"/>
    <w:rsid w:val="005F6858"/>
    <w:rsid w:val="0060451D"/>
    <w:rsid w:val="00605A12"/>
    <w:rsid w:val="00606E5E"/>
    <w:rsid w:val="00625B57"/>
    <w:rsid w:val="0062681C"/>
    <w:rsid w:val="00630EFA"/>
    <w:rsid w:val="00632516"/>
    <w:rsid w:val="006407ED"/>
    <w:rsid w:val="00646CA8"/>
    <w:rsid w:val="00650C48"/>
    <w:rsid w:val="00661609"/>
    <w:rsid w:val="00685E2D"/>
    <w:rsid w:val="006A0F50"/>
    <w:rsid w:val="006C1947"/>
    <w:rsid w:val="006E25E4"/>
    <w:rsid w:val="006E7968"/>
    <w:rsid w:val="006F00FE"/>
    <w:rsid w:val="007414C3"/>
    <w:rsid w:val="00741FEC"/>
    <w:rsid w:val="00754E2E"/>
    <w:rsid w:val="007574D7"/>
    <w:rsid w:val="00772B98"/>
    <w:rsid w:val="00774C4E"/>
    <w:rsid w:val="00790BB2"/>
    <w:rsid w:val="007960AA"/>
    <w:rsid w:val="007A0710"/>
    <w:rsid w:val="007B3411"/>
    <w:rsid w:val="007F1F3D"/>
    <w:rsid w:val="00802FF7"/>
    <w:rsid w:val="00803BE1"/>
    <w:rsid w:val="00834183"/>
    <w:rsid w:val="00843822"/>
    <w:rsid w:val="008553A3"/>
    <w:rsid w:val="008621F7"/>
    <w:rsid w:val="00865998"/>
    <w:rsid w:val="00887C19"/>
    <w:rsid w:val="008B27FC"/>
    <w:rsid w:val="008C2BE5"/>
    <w:rsid w:val="008D04BD"/>
    <w:rsid w:val="008D1FCE"/>
    <w:rsid w:val="008D50EC"/>
    <w:rsid w:val="008E37B2"/>
    <w:rsid w:val="008E5D5F"/>
    <w:rsid w:val="008E5FF0"/>
    <w:rsid w:val="008E6DBA"/>
    <w:rsid w:val="008E7F4E"/>
    <w:rsid w:val="00900E4D"/>
    <w:rsid w:val="00916C1C"/>
    <w:rsid w:val="009231BD"/>
    <w:rsid w:val="00956BB3"/>
    <w:rsid w:val="00960287"/>
    <w:rsid w:val="00986242"/>
    <w:rsid w:val="00987C07"/>
    <w:rsid w:val="009905D6"/>
    <w:rsid w:val="009A0997"/>
    <w:rsid w:val="009A6A87"/>
    <w:rsid w:val="009B241D"/>
    <w:rsid w:val="009B56BB"/>
    <w:rsid w:val="009B72E6"/>
    <w:rsid w:val="009C2920"/>
    <w:rsid w:val="009C5FF2"/>
    <w:rsid w:val="009E0A69"/>
    <w:rsid w:val="00A00339"/>
    <w:rsid w:val="00A26082"/>
    <w:rsid w:val="00A30C83"/>
    <w:rsid w:val="00A624E0"/>
    <w:rsid w:val="00A7019C"/>
    <w:rsid w:val="00A774C6"/>
    <w:rsid w:val="00A87E97"/>
    <w:rsid w:val="00AD2560"/>
    <w:rsid w:val="00AD2A39"/>
    <w:rsid w:val="00AF3576"/>
    <w:rsid w:val="00B145F6"/>
    <w:rsid w:val="00B33AB0"/>
    <w:rsid w:val="00B47347"/>
    <w:rsid w:val="00B52A95"/>
    <w:rsid w:val="00B53570"/>
    <w:rsid w:val="00B5455D"/>
    <w:rsid w:val="00B56F9B"/>
    <w:rsid w:val="00B66ECC"/>
    <w:rsid w:val="00B714DF"/>
    <w:rsid w:val="00B80E8E"/>
    <w:rsid w:val="00BA2C88"/>
    <w:rsid w:val="00BC350B"/>
    <w:rsid w:val="00BD05BF"/>
    <w:rsid w:val="00BD5BFE"/>
    <w:rsid w:val="00BE38C4"/>
    <w:rsid w:val="00BE3C2B"/>
    <w:rsid w:val="00BF245E"/>
    <w:rsid w:val="00BF526B"/>
    <w:rsid w:val="00BF66BA"/>
    <w:rsid w:val="00C1105F"/>
    <w:rsid w:val="00C22EC1"/>
    <w:rsid w:val="00C23ED2"/>
    <w:rsid w:val="00C330E0"/>
    <w:rsid w:val="00C36C92"/>
    <w:rsid w:val="00C455DA"/>
    <w:rsid w:val="00C64C0C"/>
    <w:rsid w:val="00C73484"/>
    <w:rsid w:val="00C86269"/>
    <w:rsid w:val="00CA1862"/>
    <w:rsid w:val="00CA54BE"/>
    <w:rsid w:val="00CB3535"/>
    <w:rsid w:val="00CB5C89"/>
    <w:rsid w:val="00D05679"/>
    <w:rsid w:val="00D07814"/>
    <w:rsid w:val="00D16943"/>
    <w:rsid w:val="00D1718B"/>
    <w:rsid w:val="00D24BCB"/>
    <w:rsid w:val="00D37C4E"/>
    <w:rsid w:val="00D42140"/>
    <w:rsid w:val="00D46D85"/>
    <w:rsid w:val="00D5792E"/>
    <w:rsid w:val="00D71FED"/>
    <w:rsid w:val="00D72F51"/>
    <w:rsid w:val="00D732B6"/>
    <w:rsid w:val="00D872B5"/>
    <w:rsid w:val="00D92F42"/>
    <w:rsid w:val="00D93CB0"/>
    <w:rsid w:val="00DB6E26"/>
    <w:rsid w:val="00DC1C99"/>
    <w:rsid w:val="00DE0FB9"/>
    <w:rsid w:val="00DF5709"/>
    <w:rsid w:val="00DF62B7"/>
    <w:rsid w:val="00E14CD7"/>
    <w:rsid w:val="00E22B3A"/>
    <w:rsid w:val="00E2694C"/>
    <w:rsid w:val="00E27988"/>
    <w:rsid w:val="00E35086"/>
    <w:rsid w:val="00E46A72"/>
    <w:rsid w:val="00E506B9"/>
    <w:rsid w:val="00E57EBA"/>
    <w:rsid w:val="00E673FD"/>
    <w:rsid w:val="00E67C03"/>
    <w:rsid w:val="00E83081"/>
    <w:rsid w:val="00E8631C"/>
    <w:rsid w:val="00EA6AAA"/>
    <w:rsid w:val="00EC118B"/>
    <w:rsid w:val="00EC2658"/>
    <w:rsid w:val="00EC73D2"/>
    <w:rsid w:val="00ED3CA1"/>
    <w:rsid w:val="00EF017F"/>
    <w:rsid w:val="00F01F7E"/>
    <w:rsid w:val="00F17FB6"/>
    <w:rsid w:val="00F26767"/>
    <w:rsid w:val="00F31D39"/>
    <w:rsid w:val="00F46863"/>
    <w:rsid w:val="00F83823"/>
    <w:rsid w:val="00F84C5E"/>
    <w:rsid w:val="00F9204A"/>
    <w:rsid w:val="00FA01CF"/>
    <w:rsid w:val="00FC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3EDED2"/>
  <w15:docId w15:val="{AFD6CD17-EBE9-4FE5-82D2-088FA4E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B6"/>
    <w:rPr>
      <w:rFonts w:ascii="Segoe UI" w:hAnsi="Segoe UI" w:cs="Segoe UI"/>
      <w:sz w:val="18"/>
      <w:szCs w:val="18"/>
    </w:rPr>
  </w:style>
  <w:style w:type="paragraph" w:styleId="Header">
    <w:name w:val="header"/>
    <w:basedOn w:val="Normal"/>
    <w:link w:val="HeaderChar"/>
    <w:uiPriority w:val="99"/>
    <w:unhideWhenUsed/>
    <w:rsid w:val="00F2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67"/>
  </w:style>
  <w:style w:type="paragraph" w:styleId="Footer">
    <w:name w:val="footer"/>
    <w:basedOn w:val="Normal"/>
    <w:link w:val="FooterChar"/>
    <w:uiPriority w:val="99"/>
    <w:unhideWhenUsed/>
    <w:rsid w:val="00F2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67"/>
  </w:style>
  <w:style w:type="character" w:styleId="CommentReference">
    <w:name w:val="annotation reference"/>
    <w:basedOn w:val="DefaultParagraphFont"/>
    <w:uiPriority w:val="99"/>
    <w:semiHidden/>
    <w:unhideWhenUsed/>
    <w:rsid w:val="004445CB"/>
    <w:rPr>
      <w:sz w:val="16"/>
      <w:szCs w:val="16"/>
    </w:rPr>
  </w:style>
  <w:style w:type="paragraph" w:styleId="CommentText">
    <w:name w:val="annotation text"/>
    <w:basedOn w:val="Normal"/>
    <w:link w:val="CommentTextChar"/>
    <w:uiPriority w:val="99"/>
    <w:semiHidden/>
    <w:unhideWhenUsed/>
    <w:rsid w:val="004445CB"/>
    <w:pPr>
      <w:spacing w:line="240" w:lineRule="auto"/>
    </w:pPr>
    <w:rPr>
      <w:sz w:val="20"/>
      <w:szCs w:val="20"/>
    </w:rPr>
  </w:style>
  <w:style w:type="character" w:customStyle="1" w:styleId="CommentTextChar">
    <w:name w:val="Comment Text Char"/>
    <w:basedOn w:val="DefaultParagraphFont"/>
    <w:link w:val="CommentText"/>
    <w:uiPriority w:val="99"/>
    <w:semiHidden/>
    <w:rsid w:val="004445CB"/>
    <w:rPr>
      <w:sz w:val="20"/>
      <w:szCs w:val="20"/>
    </w:rPr>
  </w:style>
  <w:style w:type="paragraph" w:styleId="CommentSubject">
    <w:name w:val="annotation subject"/>
    <w:basedOn w:val="CommentText"/>
    <w:next w:val="CommentText"/>
    <w:link w:val="CommentSubjectChar"/>
    <w:uiPriority w:val="99"/>
    <w:semiHidden/>
    <w:unhideWhenUsed/>
    <w:rsid w:val="004445CB"/>
    <w:rPr>
      <w:b/>
      <w:bCs/>
    </w:rPr>
  </w:style>
  <w:style w:type="character" w:customStyle="1" w:styleId="CommentSubjectChar">
    <w:name w:val="Comment Subject Char"/>
    <w:basedOn w:val="CommentTextChar"/>
    <w:link w:val="CommentSubject"/>
    <w:uiPriority w:val="99"/>
    <w:semiHidden/>
    <w:rsid w:val="004445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42DE-B669-48E9-BC7E-FF2E7D81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Martinez-Criego, Liliana</dc:creator>
  <cp:lastModifiedBy>Ecklund, Wendy</cp:lastModifiedBy>
  <cp:revision>3</cp:revision>
  <cp:lastPrinted>2018-09-04T20:49:00Z</cp:lastPrinted>
  <dcterms:created xsi:type="dcterms:W3CDTF">2020-10-15T17:14:00Z</dcterms:created>
  <dcterms:modified xsi:type="dcterms:W3CDTF">2020-10-15T17:15:00Z</dcterms:modified>
</cp:coreProperties>
</file>