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690D" w14:textId="77777777" w:rsidR="006709DA" w:rsidRPr="007D18AB" w:rsidRDefault="006709DA" w:rsidP="006709DA">
      <w:pPr>
        <w:jc w:val="center"/>
        <w:rPr>
          <w:rFonts w:ascii="Century Gothic" w:hAnsi="Century Gothic"/>
          <w:b/>
        </w:rPr>
      </w:pPr>
      <w:r w:rsidRPr="007D18AB">
        <w:rPr>
          <w:rFonts w:ascii="Century Gothic" w:hAnsi="Century Gothic"/>
          <w:b/>
        </w:rPr>
        <w:t xml:space="preserve">COP Minutes </w:t>
      </w:r>
    </w:p>
    <w:p w14:paraId="1EDBE760" w14:textId="77777777" w:rsidR="006709DA" w:rsidRPr="007D18AB" w:rsidRDefault="006709DA" w:rsidP="006709DA">
      <w:pPr>
        <w:jc w:val="center"/>
        <w:rPr>
          <w:rFonts w:ascii="Century Gothic" w:hAnsi="Century Gothic"/>
          <w:b/>
        </w:rPr>
      </w:pPr>
      <w:r w:rsidRPr="007D18AB">
        <w:rPr>
          <w:rFonts w:ascii="Century Gothic" w:hAnsi="Century Gothic"/>
          <w:b/>
        </w:rPr>
        <w:t>June 25</w:t>
      </w:r>
      <w:r w:rsidRPr="007D18AB">
        <w:rPr>
          <w:rFonts w:ascii="Century Gothic" w:hAnsi="Century Gothic"/>
          <w:b/>
          <w:vertAlign w:val="superscript"/>
        </w:rPr>
        <w:t>th</w:t>
      </w:r>
      <w:r w:rsidRPr="007D18AB">
        <w:rPr>
          <w:rFonts w:ascii="Century Gothic" w:hAnsi="Century Gothic"/>
          <w:b/>
        </w:rPr>
        <w:t>, 2019</w:t>
      </w:r>
    </w:p>
    <w:p w14:paraId="75480492" w14:textId="77777777" w:rsidR="006709DA" w:rsidRPr="007D18AB" w:rsidRDefault="006709DA" w:rsidP="006709DA">
      <w:pPr>
        <w:jc w:val="center"/>
        <w:rPr>
          <w:rFonts w:ascii="Century Gothic" w:hAnsi="Century Gothic"/>
          <w:b/>
        </w:rPr>
      </w:pPr>
      <w:proofErr w:type="spellStart"/>
      <w:r w:rsidRPr="007D18AB">
        <w:rPr>
          <w:rFonts w:ascii="Century Gothic" w:hAnsi="Century Gothic"/>
          <w:b/>
        </w:rPr>
        <w:t>Firespring</w:t>
      </w:r>
      <w:proofErr w:type="spellEnd"/>
      <w:r w:rsidRPr="007D18AB">
        <w:rPr>
          <w:rFonts w:ascii="Century Gothic" w:hAnsi="Century Gothic"/>
          <w:b/>
        </w:rPr>
        <w:t>, Lincoln NE</w:t>
      </w:r>
    </w:p>
    <w:p w14:paraId="66E445CE" w14:textId="77777777" w:rsidR="006709DA" w:rsidRDefault="006709DA" w:rsidP="006709DA">
      <w:pPr>
        <w:rPr>
          <w:rFonts w:ascii="Century Gothic" w:hAnsi="Century Gothic"/>
        </w:rPr>
      </w:pPr>
    </w:p>
    <w:p w14:paraId="5E56D7E9" w14:textId="77777777" w:rsidR="006709DA" w:rsidRDefault="006709DA" w:rsidP="006709DA">
      <w:pPr>
        <w:rPr>
          <w:rFonts w:ascii="Century Gothic" w:hAnsi="Century Gothic"/>
        </w:rPr>
      </w:pPr>
      <w:r w:rsidRPr="003F1226">
        <w:rPr>
          <w:rFonts w:ascii="Century Gothic" w:hAnsi="Century Gothic"/>
        </w:rPr>
        <w:t xml:space="preserve">Renee Hyde, COP Chairperson, called the Committee of Practitioners meeting to order at 9:00 AM on Tuesday </w:t>
      </w:r>
      <w:r>
        <w:rPr>
          <w:rFonts w:ascii="Century Gothic" w:hAnsi="Century Gothic"/>
        </w:rPr>
        <w:t>June 25</w:t>
      </w:r>
      <w:r w:rsidRPr="003F1226">
        <w:rPr>
          <w:rFonts w:ascii="Century Gothic" w:hAnsi="Century Gothic"/>
        </w:rPr>
        <w:t>, 2019</w:t>
      </w:r>
      <w:r>
        <w:rPr>
          <w:rFonts w:ascii="Century Gothic" w:hAnsi="Century Gothic"/>
        </w:rPr>
        <w:t>, at</w:t>
      </w:r>
      <w:r w:rsidRPr="003F1226">
        <w:rPr>
          <w:rFonts w:ascii="Century Gothic" w:hAnsi="Century Gothic"/>
        </w:rPr>
        <w:t xml:space="preserve"> </w:t>
      </w:r>
      <w:proofErr w:type="spellStart"/>
      <w:r>
        <w:rPr>
          <w:rFonts w:ascii="Century Gothic" w:hAnsi="Century Gothic"/>
        </w:rPr>
        <w:t>Firespring</w:t>
      </w:r>
      <w:proofErr w:type="spellEnd"/>
      <w:r w:rsidRPr="003F1226">
        <w:rPr>
          <w:rFonts w:ascii="Century Gothic" w:hAnsi="Century Gothic"/>
        </w:rPr>
        <w:t xml:space="preserve"> in </w:t>
      </w:r>
      <w:r>
        <w:rPr>
          <w:rFonts w:ascii="Century Gothic" w:hAnsi="Century Gothic"/>
        </w:rPr>
        <w:t xml:space="preserve">Lincoln, </w:t>
      </w:r>
      <w:r w:rsidRPr="003F1226">
        <w:rPr>
          <w:rFonts w:ascii="Century Gothic" w:hAnsi="Century Gothic"/>
        </w:rPr>
        <w:t>Nebraska.</w:t>
      </w:r>
    </w:p>
    <w:p w14:paraId="44A5EAF3" w14:textId="77777777" w:rsidR="006709DA" w:rsidRDefault="006709DA" w:rsidP="006709DA">
      <w:pPr>
        <w:rPr>
          <w:rFonts w:ascii="Century Gothic" w:hAnsi="Century Gothic"/>
        </w:rPr>
      </w:pPr>
      <w:r>
        <w:rPr>
          <w:rFonts w:ascii="Century Gothic" w:hAnsi="Century Gothic"/>
        </w:rPr>
        <w:t>Attendees</w:t>
      </w:r>
    </w:p>
    <w:tbl>
      <w:tblPr>
        <w:tblW w:w="0" w:type="auto"/>
        <w:tblInd w:w="118" w:type="dxa"/>
        <w:tblLayout w:type="fixed"/>
        <w:tblCellMar>
          <w:left w:w="0" w:type="dxa"/>
          <w:right w:w="0" w:type="dxa"/>
        </w:tblCellMar>
        <w:tblLook w:val="01E0" w:firstRow="1" w:lastRow="1" w:firstColumn="1" w:lastColumn="1" w:noHBand="0" w:noVBand="0"/>
      </w:tblPr>
      <w:tblGrid>
        <w:gridCol w:w="3084"/>
        <w:gridCol w:w="3108"/>
        <w:gridCol w:w="2481"/>
      </w:tblGrid>
      <w:tr w:rsidR="006709DA" w:rsidRPr="007D18AB" w14:paraId="206D72FD" w14:textId="77777777" w:rsidTr="007A5D35">
        <w:trPr>
          <w:trHeight w:hRule="exact" w:val="356"/>
        </w:trPr>
        <w:tc>
          <w:tcPr>
            <w:tcW w:w="3084" w:type="dxa"/>
            <w:tcBorders>
              <w:top w:val="nil"/>
              <w:left w:val="nil"/>
              <w:bottom w:val="nil"/>
              <w:right w:val="nil"/>
            </w:tcBorders>
          </w:tcPr>
          <w:p w14:paraId="2C3335EF" w14:textId="77777777" w:rsidR="006709DA" w:rsidRPr="007D18AB" w:rsidRDefault="006709DA" w:rsidP="007A5D35">
            <w:pPr>
              <w:widowControl w:val="0"/>
              <w:spacing w:before="20" w:after="0" w:line="240" w:lineRule="auto"/>
              <w:ind w:left="230"/>
              <w:rPr>
                <w:rFonts w:ascii="Century Gothic" w:eastAsia="Century Gothic" w:hAnsi="Century Gothic" w:cs="Century Gothic"/>
              </w:rPr>
            </w:pPr>
            <w:r w:rsidRPr="007D18AB">
              <w:rPr>
                <w:rFonts w:ascii="Century Gothic" w:eastAsia="Calibri" w:hAnsi="Calibri" w:cs="Times New Roman"/>
                <w:spacing w:val="-1"/>
                <w:u w:val="single" w:color="000000"/>
              </w:rPr>
              <w:t xml:space="preserve">Members </w:t>
            </w:r>
            <w:r w:rsidRPr="007D18AB">
              <w:rPr>
                <w:rFonts w:ascii="Century Gothic" w:eastAsia="Calibri" w:hAnsi="Calibri" w:cs="Times New Roman"/>
                <w:u w:val="single" w:color="000000"/>
              </w:rPr>
              <w:t>in</w:t>
            </w:r>
            <w:r w:rsidRPr="007D18AB">
              <w:rPr>
                <w:rFonts w:ascii="Century Gothic" w:eastAsia="Calibri" w:hAnsi="Calibri" w:cs="Times New Roman"/>
                <w:spacing w:val="-2"/>
                <w:u w:val="single" w:color="000000"/>
              </w:rPr>
              <w:t xml:space="preserve"> </w:t>
            </w:r>
            <w:r w:rsidRPr="007D18AB">
              <w:rPr>
                <w:rFonts w:ascii="Century Gothic" w:eastAsia="Calibri" w:hAnsi="Calibri" w:cs="Times New Roman"/>
                <w:spacing w:val="-1"/>
                <w:u w:val="single" w:color="000000"/>
              </w:rPr>
              <w:t>attendance</w:t>
            </w:r>
          </w:p>
        </w:tc>
        <w:tc>
          <w:tcPr>
            <w:tcW w:w="3108" w:type="dxa"/>
            <w:tcBorders>
              <w:top w:val="nil"/>
              <w:left w:val="nil"/>
              <w:bottom w:val="nil"/>
              <w:right w:val="nil"/>
            </w:tcBorders>
          </w:tcPr>
          <w:p w14:paraId="43A8DA81" w14:textId="77777777" w:rsidR="006709DA" w:rsidRPr="007D18AB" w:rsidRDefault="006709DA" w:rsidP="007A5D35">
            <w:pPr>
              <w:widowControl w:val="0"/>
              <w:spacing w:before="20" w:after="0" w:line="240" w:lineRule="auto"/>
              <w:ind w:left="261"/>
              <w:rPr>
                <w:rFonts w:ascii="Century Gothic" w:eastAsia="Century Gothic" w:hAnsi="Century Gothic" w:cs="Century Gothic"/>
              </w:rPr>
            </w:pPr>
            <w:r w:rsidRPr="007D18AB">
              <w:rPr>
                <w:rFonts w:ascii="Century Gothic" w:eastAsia="Calibri" w:hAnsi="Calibri" w:cs="Times New Roman"/>
                <w:spacing w:val="-1"/>
                <w:u w:val="single" w:color="000000"/>
              </w:rPr>
              <w:t>NDE</w:t>
            </w:r>
            <w:r w:rsidRPr="007D18AB">
              <w:rPr>
                <w:rFonts w:ascii="Century Gothic" w:eastAsia="Calibri" w:hAnsi="Calibri" w:cs="Times New Roman"/>
                <w:spacing w:val="-2"/>
                <w:u w:val="single" w:color="000000"/>
              </w:rPr>
              <w:t xml:space="preserve"> </w:t>
            </w:r>
            <w:r w:rsidRPr="007D18AB">
              <w:rPr>
                <w:rFonts w:ascii="Century Gothic" w:eastAsia="Calibri" w:hAnsi="Calibri" w:cs="Times New Roman"/>
                <w:u w:val="single" w:color="000000"/>
              </w:rPr>
              <w:t>Staff</w:t>
            </w:r>
            <w:r w:rsidRPr="007D18AB">
              <w:rPr>
                <w:rFonts w:ascii="Century Gothic" w:eastAsia="Calibri" w:hAnsi="Calibri" w:cs="Times New Roman"/>
                <w:spacing w:val="-1"/>
                <w:u w:val="single" w:color="000000"/>
              </w:rPr>
              <w:t xml:space="preserve"> </w:t>
            </w:r>
            <w:r w:rsidRPr="007D18AB">
              <w:rPr>
                <w:rFonts w:ascii="Century Gothic" w:eastAsia="Calibri" w:hAnsi="Calibri" w:cs="Times New Roman"/>
                <w:u w:val="single" w:color="000000"/>
              </w:rPr>
              <w:t>in</w:t>
            </w:r>
            <w:r w:rsidRPr="007D18AB">
              <w:rPr>
                <w:rFonts w:ascii="Century Gothic" w:eastAsia="Calibri" w:hAnsi="Calibri" w:cs="Times New Roman"/>
                <w:spacing w:val="-2"/>
                <w:u w:val="single" w:color="000000"/>
              </w:rPr>
              <w:t xml:space="preserve"> attendance</w:t>
            </w:r>
          </w:p>
        </w:tc>
        <w:tc>
          <w:tcPr>
            <w:tcW w:w="2481" w:type="dxa"/>
            <w:tcBorders>
              <w:top w:val="nil"/>
              <w:left w:val="nil"/>
              <w:bottom w:val="nil"/>
              <w:right w:val="nil"/>
            </w:tcBorders>
          </w:tcPr>
          <w:p w14:paraId="3FD3680C" w14:textId="77777777" w:rsidR="006709DA" w:rsidRDefault="006709DA" w:rsidP="007A5D35">
            <w:pPr>
              <w:widowControl w:val="0"/>
              <w:spacing w:before="20" w:after="0" w:line="240" w:lineRule="auto"/>
              <w:ind w:left="271"/>
              <w:rPr>
                <w:rFonts w:ascii="Century Gothic" w:eastAsia="Calibri" w:hAnsi="Calibri" w:cs="Times New Roman"/>
                <w:spacing w:val="-2"/>
                <w:u w:val="single" w:color="000000"/>
              </w:rPr>
            </w:pPr>
            <w:r w:rsidRPr="007D18AB">
              <w:rPr>
                <w:rFonts w:ascii="Century Gothic" w:eastAsia="Calibri" w:hAnsi="Calibri" w:cs="Times New Roman"/>
                <w:spacing w:val="-1"/>
                <w:u w:val="single" w:color="000000"/>
              </w:rPr>
              <w:t>Not</w:t>
            </w:r>
            <w:r w:rsidRPr="007D18AB">
              <w:rPr>
                <w:rFonts w:ascii="Century Gothic" w:eastAsia="Calibri" w:hAnsi="Calibri" w:cs="Times New Roman"/>
                <w:spacing w:val="-2"/>
                <w:u w:val="single" w:color="000000"/>
              </w:rPr>
              <w:t xml:space="preserve"> </w:t>
            </w:r>
            <w:r w:rsidRPr="007D18AB">
              <w:rPr>
                <w:rFonts w:ascii="Century Gothic" w:eastAsia="Calibri" w:hAnsi="Calibri" w:cs="Times New Roman"/>
                <w:u w:val="single" w:color="000000"/>
              </w:rPr>
              <w:t>in</w:t>
            </w:r>
            <w:r w:rsidRPr="007D18AB">
              <w:rPr>
                <w:rFonts w:ascii="Century Gothic" w:eastAsia="Calibri" w:hAnsi="Calibri" w:cs="Times New Roman"/>
                <w:spacing w:val="-2"/>
                <w:u w:val="single" w:color="000000"/>
              </w:rPr>
              <w:t xml:space="preserve"> attendance</w:t>
            </w:r>
          </w:p>
          <w:p w14:paraId="2C4B5E64" w14:textId="77777777" w:rsidR="006709DA" w:rsidRDefault="006709DA" w:rsidP="007A5D35">
            <w:pPr>
              <w:widowControl w:val="0"/>
              <w:spacing w:before="20" w:after="0" w:line="240" w:lineRule="auto"/>
              <w:ind w:left="271"/>
              <w:rPr>
                <w:rFonts w:ascii="Century Gothic" w:eastAsia="Calibri" w:hAnsi="Calibri" w:cs="Times New Roman"/>
                <w:spacing w:val="-2"/>
                <w:u w:val="single" w:color="000000"/>
              </w:rPr>
            </w:pPr>
          </w:p>
          <w:p w14:paraId="6270E77C" w14:textId="77777777" w:rsidR="006709DA" w:rsidRPr="007D18AB" w:rsidRDefault="006709DA" w:rsidP="007A5D35">
            <w:pPr>
              <w:widowControl w:val="0"/>
              <w:spacing w:before="20" w:after="0" w:line="240" w:lineRule="auto"/>
              <w:ind w:left="271"/>
              <w:rPr>
                <w:rFonts w:ascii="Century Gothic" w:eastAsia="Century Gothic" w:hAnsi="Century Gothic" w:cs="Century Gothic"/>
              </w:rPr>
            </w:pPr>
          </w:p>
        </w:tc>
      </w:tr>
      <w:tr w:rsidR="006709DA" w:rsidRPr="007D18AB" w14:paraId="3B1EDAA3" w14:textId="77777777" w:rsidTr="007A5D35">
        <w:trPr>
          <w:trHeight w:hRule="exact" w:val="297"/>
        </w:trPr>
        <w:tc>
          <w:tcPr>
            <w:tcW w:w="3084" w:type="dxa"/>
            <w:tcBorders>
              <w:top w:val="nil"/>
              <w:left w:val="nil"/>
              <w:bottom w:val="nil"/>
              <w:right w:val="nil"/>
            </w:tcBorders>
            <w:vAlign w:val="bottom"/>
          </w:tcPr>
          <w:p w14:paraId="21E11FD1" w14:textId="77777777" w:rsidR="006709DA" w:rsidRPr="007D18AB" w:rsidRDefault="006709DA" w:rsidP="007A5D35">
            <w:pPr>
              <w:widowControl w:val="0"/>
              <w:spacing w:before="37" w:after="0" w:line="240" w:lineRule="auto"/>
              <w:ind w:left="230"/>
              <w:rPr>
                <w:rFonts w:ascii="Century Gothic" w:eastAsia="Century Gothic" w:hAnsi="Century Gothic" w:cs="Century Gothic"/>
                <w:sz w:val="20"/>
                <w:szCs w:val="20"/>
              </w:rPr>
            </w:pPr>
            <w:r>
              <w:rPr>
                <w:rFonts w:ascii="Century Gothic" w:hAnsi="Century Gothic"/>
                <w:color w:val="000000"/>
                <w:sz w:val="20"/>
                <w:szCs w:val="20"/>
              </w:rPr>
              <w:t xml:space="preserve">Andy </w:t>
            </w:r>
            <w:proofErr w:type="spellStart"/>
            <w:r>
              <w:rPr>
                <w:rFonts w:ascii="Century Gothic" w:hAnsi="Century Gothic"/>
                <w:color w:val="000000"/>
                <w:sz w:val="20"/>
                <w:szCs w:val="20"/>
              </w:rPr>
              <w:t>DeFreece</w:t>
            </w:r>
            <w:proofErr w:type="spellEnd"/>
          </w:p>
        </w:tc>
        <w:tc>
          <w:tcPr>
            <w:tcW w:w="3108" w:type="dxa"/>
            <w:tcBorders>
              <w:top w:val="nil"/>
              <w:left w:val="nil"/>
              <w:bottom w:val="nil"/>
              <w:right w:val="nil"/>
            </w:tcBorders>
            <w:vAlign w:val="bottom"/>
          </w:tcPr>
          <w:p w14:paraId="548E487A" w14:textId="77777777" w:rsidR="006709DA" w:rsidRPr="007D18AB" w:rsidRDefault="006709DA" w:rsidP="007A5D35">
            <w:pPr>
              <w:widowControl w:val="0"/>
              <w:spacing w:before="37" w:after="0" w:line="240" w:lineRule="auto"/>
              <w:ind w:left="261"/>
              <w:rPr>
                <w:rFonts w:ascii="Century Gothic" w:eastAsia="Century Gothic" w:hAnsi="Century Gothic" w:cs="Century Gothic"/>
                <w:sz w:val="20"/>
                <w:szCs w:val="20"/>
              </w:rPr>
            </w:pPr>
            <w:r>
              <w:rPr>
                <w:rFonts w:ascii="Century Gothic" w:hAnsi="Century Gothic"/>
                <w:color w:val="000000"/>
                <w:sz w:val="20"/>
                <w:szCs w:val="20"/>
              </w:rPr>
              <w:t>Benjamin Zink</w:t>
            </w:r>
          </w:p>
        </w:tc>
        <w:tc>
          <w:tcPr>
            <w:tcW w:w="2481" w:type="dxa"/>
            <w:tcBorders>
              <w:top w:val="nil"/>
              <w:left w:val="nil"/>
              <w:bottom w:val="nil"/>
              <w:right w:val="nil"/>
            </w:tcBorders>
            <w:vAlign w:val="bottom"/>
          </w:tcPr>
          <w:p w14:paraId="717F48F5" w14:textId="77777777" w:rsidR="006709DA" w:rsidRPr="007D18AB" w:rsidRDefault="006709DA" w:rsidP="007A5D35">
            <w:pPr>
              <w:widowControl w:val="0"/>
              <w:spacing w:before="37" w:after="0" w:line="240" w:lineRule="auto"/>
              <w:ind w:left="271"/>
              <w:rPr>
                <w:rFonts w:ascii="Century Gothic" w:eastAsia="Century Gothic" w:hAnsi="Century Gothic" w:cs="Century Gothic"/>
                <w:sz w:val="20"/>
                <w:szCs w:val="20"/>
              </w:rPr>
            </w:pPr>
            <w:r>
              <w:rPr>
                <w:rFonts w:ascii="Century Gothic" w:hAnsi="Century Gothic"/>
                <w:color w:val="000000"/>
                <w:sz w:val="20"/>
                <w:szCs w:val="20"/>
              </w:rPr>
              <w:t>Bob Ziegler</w:t>
            </w:r>
          </w:p>
        </w:tc>
      </w:tr>
      <w:tr w:rsidR="006709DA" w:rsidRPr="007D18AB" w14:paraId="3BBC2ADD" w14:textId="77777777" w:rsidTr="007A5D35">
        <w:trPr>
          <w:trHeight w:hRule="exact" w:val="246"/>
        </w:trPr>
        <w:tc>
          <w:tcPr>
            <w:tcW w:w="3084" w:type="dxa"/>
            <w:tcBorders>
              <w:top w:val="nil"/>
              <w:left w:val="nil"/>
              <w:bottom w:val="nil"/>
              <w:right w:val="nil"/>
            </w:tcBorders>
            <w:vAlign w:val="bottom"/>
          </w:tcPr>
          <w:p w14:paraId="29B66DF7" w14:textId="77777777" w:rsidR="006709DA" w:rsidRPr="007D18AB" w:rsidRDefault="006709DA" w:rsidP="007A5D35">
            <w:pPr>
              <w:widowControl w:val="0"/>
              <w:spacing w:after="0" w:line="231" w:lineRule="exact"/>
              <w:ind w:left="230"/>
              <w:rPr>
                <w:rFonts w:ascii="Century Gothic" w:eastAsia="Century Gothic" w:hAnsi="Century Gothic" w:cs="Century Gothic"/>
                <w:sz w:val="20"/>
                <w:szCs w:val="20"/>
              </w:rPr>
            </w:pPr>
            <w:r>
              <w:rPr>
                <w:rFonts w:ascii="Century Gothic" w:hAnsi="Century Gothic"/>
                <w:color w:val="000000"/>
                <w:sz w:val="20"/>
                <w:szCs w:val="20"/>
              </w:rPr>
              <w:t>Ann Nickerson</w:t>
            </w:r>
          </w:p>
        </w:tc>
        <w:tc>
          <w:tcPr>
            <w:tcW w:w="3108" w:type="dxa"/>
            <w:tcBorders>
              <w:top w:val="nil"/>
              <w:left w:val="nil"/>
              <w:bottom w:val="nil"/>
              <w:right w:val="nil"/>
            </w:tcBorders>
            <w:vAlign w:val="bottom"/>
          </w:tcPr>
          <w:p w14:paraId="56A572E6" w14:textId="77777777" w:rsidR="006709DA" w:rsidRPr="007D18AB" w:rsidRDefault="006709DA" w:rsidP="007A5D35">
            <w:pPr>
              <w:widowControl w:val="0"/>
              <w:spacing w:after="0" w:line="231" w:lineRule="exact"/>
              <w:ind w:left="261"/>
              <w:rPr>
                <w:rFonts w:ascii="Century Gothic" w:eastAsia="Century Gothic" w:hAnsi="Century Gothic" w:cs="Century Gothic"/>
                <w:sz w:val="20"/>
                <w:szCs w:val="20"/>
              </w:rPr>
            </w:pPr>
            <w:r>
              <w:rPr>
                <w:rFonts w:ascii="Century Gothic" w:hAnsi="Century Gothic"/>
                <w:color w:val="000000"/>
                <w:sz w:val="20"/>
                <w:szCs w:val="20"/>
              </w:rPr>
              <w:t>Beth Wooster</w:t>
            </w:r>
          </w:p>
        </w:tc>
        <w:tc>
          <w:tcPr>
            <w:tcW w:w="2481" w:type="dxa"/>
            <w:tcBorders>
              <w:top w:val="nil"/>
              <w:left w:val="nil"/>
              <w:bottom w:val="nil"/>
              <w:right w:val="nil"/>
            </w:tcBorders>
            <w:vAlign w:val="bottom"/>
          </w:tcPr>
          <w:p w14:paraId="2435B70D" w14:textId="77777777" w:rsidR="006709DA" w:rsidRPr="007D18AB" w:rsidRDefault="006709DA" w:rsidP="007A5D35">
            <w:pPr>
              <w:widowControl w:val="0"/>
              <w:spacing w:after="0" w:line="231" w:lineRule="exact"/>
              <w:ind w:left="271"/>
              <w:rPr>
                <w:rFonts w:ascii="Century Gothic" w:eastAsia="Century Gothic" w:hAnsi="Century Gothic" w:cs="Century Gothic"/>
                <w:sz w:val="20"/>
                <w:szCs w:val="20"/>
              </w:rPr>
            </w:pPr>
            <w:r>
              <w:rPr>
                <w:rFonts w:ascii="Century Gothic" w:hAnsi="Century Gothic"/>
                <w:color w:val="000000"/>
                <w:sz w:val="20"/>
                <w:szCs w:val="20"/>
              </w:rPr>
              <w:t>Eileen Barks</w:t>
            </w:r>
          </w:p>
        </w:tc>
      </w:tr>
      <w:tr w:rsidR="006709DA" w:rsidRPr="007D18AB" w14:paraId="75337502" w14:textId="77777777" w:rsidTr="007A5D35">
        <w:trPr>
          <w:trHeight w:hRule="exact" w:val="246"/>
        </w:trPr>
        <w:tc>
          <w:tcPr>
            <w:tcW w:w="3084" w:type="dxa"/>
            <w:tcBorders>
              <w:top w:val="nil"/>
              <w:left w:val="nil"/>
              <w:bottom w:val="nil"/>
              <w:right w:val="nil"/>
            </w:tcBorders>
            <w:vAlign w:val="bottom"/>
          </w:tcPr>
          <w:p w14:paraId="3CC54284" w14:textId="77777777" w:rsidR="006709DA" w:rsidRPr="007D18AB" w:rsidRDefault="006709DA" w:rsidP="007A5D35">
            <w:pPr>
              <w:widowControl w:val="0"/>
              <w:spacing w:after="0" w:line="231" w:lineRule="exact"/>
              <w:ind w:left="230"/>
              <w:rPr>
                <w:rFonts w:ascii="Century Gothic" w:eastAsia="Century Gothic" w:hAnsi="Century Gothic" w:cs="Century Gothic"/>
                <w:sz w:val="20"/>
                <w:szCs w:val="20"/>
              </w:rPr>
            </w:pPr>
            <w:r>
              <w:rPr>
                <w:rFonts w:ascii="Century Gothic" w:hAnsi="Century Gothic"/>
                <w:color w:val="000000"/>
                <w:sz w:val="20"/>
                <w:szCs w:val="20"/>
              </w:rPr>
              <w:t>Anne Caruso</w:t>
            </w:r>
          </w:p>
        </w:tc>
        <w:tc>
          <w:tcPr>
            <w:tcW w:w="3108" w:type="dxa"/>
            <w:tcBorders>
              <w:top w:val="nil"/>
              <w:left w:val="nil"/>
              <w:bottom w:val="nil"/>
              <w:right w:val="nil"/>
            </w:tcBorders>
            <w:vAlign w:val="bottom"/>
          </w:tcPr>
          <w:p w14:paraId="7695A0CF" w14:textId="77777777" w:rsidR="006709DA" w:rsidRPr="007D18AB" w:rsidRDefault="006709DA" w:rsidP="007A5D35">
            <w:pPr>
              <w:widowControl w:val="0"/>
              <w:spacing w:after="0" w:line="231" w:lineRule="exact"/>
              <w:ind w:left="261"/>
              <w:rPr>
                <w:rFonts w:ascii="Century Gothic" w:eastAsia="Century Gothic" w:hAnsi="Century Gothic" w:cs="Century Gothic"/>
                <w:sz w:val="20"/>
                <w:szCs w:val="20"/>
              </w:rPr>
            </w:pPr>
            <w:r>
              <w:rPr>
                <w:rFonts w:ascii="Century Gothic" w:hAnsi="Century Gothic"/>
                <w:color w:val="000000"/>
                <w:sz w:val="20"/>
                <w:szCs w:val="20"/>
              </w:rPr>
              <w:t>Deb Romanek</w:t>
            </w:r>
          </w:p>
        </w:tc>
        <w:tc>
          <w:tcPr>
            <w:tcW w:w="2481" w:type="dxa"/>
            <w:tcBorders>
              <w:top w:val="nil"/>
              <w:left w:val="nil"/>
              <w:bottom w:val="nil"/>
              <w:right w:val="nil"/>
            </w:tcBorders>
            <w:vAlign w:val="bottom"/>
          </w:tcPr>
          <w:p w14:paraId="654723C0" w14:textId="77777777" w:rsidR="006709DA" w:rsidRPr="007D18AB" w:rsidRDefault="006709DA" w:rsidP="007A5D35">
            <w:pPr>
              <w:widowControl w:val="0"/>
              <w:spacing w:after="0" w:line="231" w:lineRule="exact"/>
              <w:ind w:left="271"/>
              <w:rPr>
                <w:rFonts w:ascii="Century Gothic" w:eastAsia="Century Gothic" w:hAnsi="Century Gothic" w:cs="Century Gothic"/>
                <w:sz w:val="20"/>
                <w:szCs w:val="20"/>
              </w:rPr>
            </w:pPr>
            <w:r>
              <w:rPr>
                <w:rFonts w:ascii="Century Gothic" w:hAnsi="Century Gothic"/>
                <w:color w:val="000000"/>
                <w:sz w:val="20"/>
                <w:szCs w:val="20"/>
              </w:rPr>
              <w:t xml:space="preserve">Kraig J </w:t>
            </w:r>
            <w:proofErr w:type="spellStart"/>
            <w:r>
              <w:rPr>
                <w:rFonts w:ascii="Century Gothic" w:hAnsi="Century Gothic"/>
                <w:color w:val="000000"/>
                <w:sz w:val="20"/>
                <w:szCs w:val="20"/>
              </w:rPr>
              <w:t>Lofquist</w:t>
            </w:r>
            <w:proofErr w:type="spellEnd"/>
          </w:p>
        </w:tc>
      </w:tr>
      <w:tr w:rsidR="006709DA" w:rsidRPr="007D18AB" w14:paraId="408A50CA" w14:textId="77777777" w:rsidTr="007A5D35">
        <w:trPr>
          <w:trHeight w:hRule="exact" w:val="245"/>
        </w:trPr>
        <w:tc>
          <w:tcPr>
            <w:tcW w:w="3084" w:type="dxa"/>
            <w:tcBorders>
              <w:top w:val="nil"/>
              <w:left w:val="nil"/>
              <w:bottom w:val="nil"/>
              <w:right w:val="nil"/>
            </w:tcBorders>
            <w:vAlign w:val="bottom"/>
          </w:tcPr>
          <w:p w14:paraId="521CBC05"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Bill Heimann</w:t>
            </w:r>
          </w:p>
        </w:tc>
        <w:tc>
          <w:tcPr>
            <w:tcW w:w="3108" w:type="dxa"/>
            <w:tcBorders>
              <w:top w:val="nil"/>
              <w:left w:val="nil"/>
              <w:bottom w:val="nil"/>
              <w:right w:val="nil"/>
            </w:tcBorders>
            <w:vAlign w:val="bottom"/>
          </w:tcPr>
          <w:p w14:paraId="3365F40B" w14:textId="77777777" w:rsidR="006709DA" w:rsidRPr="007D18AB" w:rsidRDefault="006709DA" w:rsidP="007A5D35">
            <w:pPr>
              <w:widowControl w:val="0"/>
              <w:spacing w:after="0" w:line="230" w:lineRule="exact"/>
              <w:ind w:left="315" w:hanging="63"/>
              <w:rPr>
                <w:rFonts w:ascii="Century Gothic" w:eastAsia="Century Gothic" w:hAnsi="Century Gothic" w:cs="Century Gothic"/>
                <w:sz w:val="20"/>
                <w:szCs w:val="20"/>
              </w:rPr>
            </w:pPr>
            <w:r>
              <w:rPr>
                <w:rFonts w:ascii="Century Gothic" w:hAnsi="Century Gothic"/>
                <w:color w:val="000000"/>
                <w:sz w:val="20"/>
                <w:szCs w:val="20"/>
              </w:rPr>
              <w:t>Diane Stuehmer</w:t>
            </w:r>
          </w:p>
        </w:tc>
        <w:tc>
          <w:tcPr>
            <w:tcW w:w="2481" w:type="dxa"/>
            <w:tcBorders>
              <w:top w:val="nil"/>
              <w:left w:val="nil"/>
              <w:bottom w:val="nil"/>
              <w:right w:val="nil"/>
            </w:tcBorders>
            <w:vAlign w:val="bottom"/>
          </w:tcPr>
          <w:p w14:paraId="695016DF" w14:textId="77777777" w:rsidR="006709DA" w:rsidRPr="007D18AB" w:rsidRDefault="006709DA" w:rsidP="007A5D35">
            <w:pPr>
              <w:widowControl w:val="0"/>
              <w:spacing w:after="0" w:line="230" w:lineRule="exact"/>
              <w:ind w:left="271"/>
              <w:rPr>
                <w:rFonts w:ascii="Century Gothic" w:eastAsia="Century Gothic" w:hAnsi="Century Gothic" w:cs="Century Gothic"/>
                <w:sz w:val="20"/>
                <w:szCs w:val="20"/>
              </w:rPr>
            </w:pPr>
            <w:r>
              <w:rPr>
                <w:rFonts w:ascii="Century Gothic" w:hAnsi="Century Gothic"/>
                <w:color w:val="000000"/>
                <w:sz w:val="20"/>
                <w:szCs w:val="20"/>
              </w:rPr>
              <w:t>Melody Hobson</w:t>
            </w:r>
          </w:p>
        </w:tc>
      </w:tr>
      <w:tr w:rsidR="006709DA" w:rsidRPr="007D18AB" w14:paraId="7B37134E" w14:textId="77777777" w:rsidTr="007A5D35">
        <w:trPr>
          <w:trHeight w:hRule="exact" w:val="245"/>
        </w:trPr>
        <w:tc>
          <w:tcPr>
            <w:tcW w:w="3084" w:type="dxa"/>
            <w:tcBorders>
              <w:top w:val="nil"/>
              <w:left w:val="nil"/>
              <w:bottom w:val="nil"/>
              <w:right w:val="nil"/>
            </w:tcBorders>
            <w:vAlign w:val="bottom"/>
          </w:tcPr>
          <w:p w14:paraId="154A1ED1"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Cheryl Burrell</w:t>
            </w:r>
          </w:p>
        </w:tc>
        <w:tc>
          <w:tcPr>
            <w:tcW w:w="3108" w:type="dxa"/>
            <w:tcBorders>
              <w:top w:val="nil"/>
              <w:left w:val="nil"/>
              <w:bottom w:val="nil"/>
              <w:right w:val="nil"/>
            </w:tcBorders>
            <w:vAlign w:val="bottom"/>
          </w:tcPr>
          <w:p w14:paraId="578CEBB3"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Jacob Clark</w:t>
            </w:r>
          </w:p>
        </w:tc>
        <w:tc>
          <w:tcPr>
            <w:tcW w:w="2481" w:type="dxa"/>
            <w:tcBorders>
              <w:top w:val="nil"/>
              <w:left w:val="nil"/>
              <w:bottom w:val="nil"/>
              <w:right w:val="nil"/>
            </w:tcBorders>
            <w:vAlign w:val="bottom"/>
          </w:tcPr>
          <w:p w14:paraId="543B1F92" w14:textId="77777777" w:rsidR="006709DA" w:rsidRPr="007D18AB" w:rsidRDefault="006709DA" w:rsidP="007A5D35">
            <w:pPr>
              <w:widowControl w:val="0"/>
              <w:spacing w:after="0" w:line="230" w:lineRule="exact"/>
              <w:ind w:left="271"/>
              <w:rPr>
                <w:rFonts w:ascii="Century Gothic" w:eastAsia="Century Gothic" w:hAnsi="Century Gothic" w:cs="Century Gothic"/>
                <w:sz w:val="20"/>
                <w:szCs w:val="20"/>
              </w:rPr>
            </w:pPr>
            <w:r>
              <w:rPr>
                <w:rFonts w:ascii="Century Gothic" w:hAnsi="Century Gothic"/>
                <w:color w:val="000000"/>
                <w:sz w:val="20"/>
                <w:szCs w:val="20"/>
              </w:rPr>
              <w:t>Monica Smith</w:t>
            </w:r>
          </w:p>
        </w:tc>
      </w:tr>
      <w:tr w:rsidR="006709DA" w:rsidRPr="007D18AB" w14:paraId="04AFB5ED" w14:textId="77777777" w:rsidTr="007A5D35">
        <w:trPr>
          <w:trHeight w:hRule="exact" w:val="245"/>
        </w:trPr>
        <w:tc>
          <w:tcPr>
            <w:tcW w:w="3084" w:type="dxa"/>
            <w:tcBorders>
              <w:top w:val="nil"/>
              <w:left w:val="nil"/>
              <w:bottom w:val="nil"/>
              <w:right w:val="nil"/>
            </w:tcBorders>
            <w:vAlign w:val="bottom"/>
          </w:tcPr>
          <w:p w14:paraId="0AEC8D6D"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Deb Ross</w:t>
            </w:r>
          </w:p>
        </w:tc>
        <w:tc>
          <w:tcPr>
            <w:tcW w:w="3108" w:type="dxa"/>
            <w:tcBorders>
              <w:top w:val="nil"/>
              <w:left w:val="nil"/>
              <w:bottom w:val="nil"/>
              <w:right w:val="nil"/>
            </w:tcBorders>
            <w:vAlign w:val="bottom"/>
          </w:tcPr>
          <w:p w14:paraId="2FFA4C44"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Jan Handa</w:t>
            </w:r>
          </w:p>
        </w:tc>
        <w:tc>
          <w:tcPr>
            <w:tcW w:w="2481" w:type="dxa"/>
            <w:tcBorders>
              <w:top w:val="nil"/>
              <w:left w:val="nil"/>
              <w:bottom w:val="nil"/>
              <w:right w:val="nil"/>
            </w:tcBorders>
            <w:vAlign w:val="bottom"/>
          </w:tcPr>
          <w:p w14:paraId="304C92FD" w14:textId="77777777" w:rsidR="006709DA" w:rsidRPr="007D18AB" w:rsidRDefault="006709DA" w:rsidP="007A5D35">
            <w:pPr>
              <w:widowControl w:val="0"/>
              <w:spacing w:after="0" w:line="230" w:lineRule="exact"/>
              <w:ind w:left="271"/>
              <w:rPr>
                <w:rFonts w:ascii="Century Gothic" w:eastAsia="Century Gothic" w:hAnsi="Century Gothic" w:cs="Century Gothic"/>
                <w:sz w:val="20"/>
                <w:szCs w:val="20"/>
              </w:rPr>
            </w:pPr>
            <w:r>
              <w:rPr>
                <w:rFonts w:ascii="Century Gothic" w:hAnsi="Century Gothic"/>
                <w:color w:val="000000"/>
                <w:sz w:val="20"/>
                <w:szCs w:val="20"/>
              </w:rPr>
              <w:t>Susan Evans</w:t>
            </w:r>
          </w:p>
        </w:tc>
      </w:tr>
      <w:tr w:rsidR="006709DA" w:rsidRPr="007D18AB" w14:paraId="0BD8011C" w14:textId="77777777" w:rsidTr="007A5D35">
        <w:trPr>
          <w:trHeight w:hRule="exact" w:val="245"/>
        </w:trPr>
        <w:tc>
          <w:tcPr>
            <w:tcW w:w="3084" w:type="dxa"/>
            <w:tcBorders>
              <w:top w:val="nil"/>
              <w:left w:val="nil"/>
              <w:bottom w:val="nil"/>
              <w:right w:val="nil"/>
            </w:tcBorders>
            <w:vAlign w:val="bottom"/>
          </w:tcPr>
          <w:p w14:paraId="63E2F98C"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Kris Schneider</w:t>
            </w:r>
          </w:p>
        </w:tc>
        <w:tc>
          <w:tcPr>
            <w:tcW w:w="3108" w:type="dxa"/>
            <w:tcBorders>
              <w:top w:val="nil"/>
              <w:left w:val="nil"/>
              <w:bottom w:val="nil"/>
              <w:right w:val="nil"/>
            </w:tcBorders>
            <w:vAlign w:val="bottom"/>
          </w:tcPr>
          <w:p w14:paraId="158C4F65"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Joan Luebbers</w:t>
            </w:r>
          </w:p>
        </w:tc>
        <w:tc>
          <w:tcPr>
            <w:tcW w:w="2481" w:type="dxa"/>
            <w:tcBorders>
              <w:top w:val="nil"/>
              <w:left w:val="nil"/>
              <w:bottom w:val="nil"/>
              <w:right w:val="nil"/>
            </w:tcBorders>
            <w:vAlign w:val="bottom"/>
          </w:tcPr>
          <w:p w14:paraId="42CE9FDF" w14:textId="77777777" w:rsidR="006709DA" w:rsidRPr="007D18AB" w:rsidRDefault="006709DA" w:rsidP="007A5D35">
            <w:pPr>
              <w:widowControl w:val="0"/>
              <w:spacing w:after="0" w:line="230" w:lineRule="exact"/>
              <w:ind w:left="271"/>
              <w:rPr>
                <w:rFonts w:ascii="Century Gothic" w:eastAsia="Century Gothic" w:hAnsi="Century Gothic" w:cs="Century Gothic"/>
                <w:sz w:val="20"/>
                <w:szCs w:val="20"/>
              </w:rPr>
            </w:pPr>
            <w:r>
              <w:rPr>
                <w:rFonts w:ascii="Century Gothic" w:hAnsi="Century Gothic"/>
                <w:color w:val="000000"/>
                <w:sz w:val="20"/>
                <w:szCs w:val="20"/>
              </w:rPr>
              <w:t xml:space="preserve">Tracey </w:t>
            </w:r>
            <w:proofErr w:type="spellStart"/>
            <w:r>
              <w:rPr>
                <w:rFonts w:ascii="Century Gothic" w:hAnsi="Century Gothic"/>
                <w:color w:val="000000"/>
                <w:sz w:val="20"/>
                <w:szCs w:val="20"/>
              </w:rPr>
              <w:t>Kovar</w:t>
            </w:r>
            <w:proofErr w:type="spellEnd"/>
          </w:p>
        </w:tc>
      </w:tr>
      <w:tr w:rsidR="006709DA" w:rsidRPr="007D18AB" w14:paraId="3A929669" w14:textId="77777777" w:rsidTr="007A5D35">
        <w:trPr>
          <w:trHeight w:hRule="exact" w:val="246"/>
        </w:trPr>
        <w:tc>
          <w:tcPr>
            <w:tcW w:w="3084" w:type="dxa"/>
            <w:tcBorders>
              <w:top w:val="nil"/>
              <w:left w:val="nil"/>
              <w:bottom w:val="nil"/>
              <w:right w:val="nil"/>
            </w:tcBorders>
            <w:vAlign w:val="bottom"/>
          </w:tcPr>
          <w:p w14:paraId="78AF5381"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Kristin Schultz</w:t>
            </w:r>
          </w:p>
        </w:tc>
        <w:tc>
          <w:tcPr>
            <w:tcW w:w="3108" w:type="dxa"/>
            <w:tcBorders>
              <w:top w:val="nil"/>
              <w:left w:val="nil"/>
              <w:bottom w:val="nil"/>
              <w:right w:val="nil"/>
            </w:tcBorders>
            <w:vAlign w:val="bottom"/>
          </w:tcPr>
          <w:p w14:paraId="79236EE0"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Kim Snyder</w:t>
            </w:r>
          </w:p>
        </w:tc>
        <w:tc>
          <w:tcPr>
            <w:tcW w:w="2481" w:type="dxa"/>
            <w:tcBorders>
              <w:top w:val="nil"/>
              <w:left w:val="nil"/>
              <w:bottom w:val="nil"/>
              <w:right w:val="nil"/>
            </w:tcBorders>
            <w:vAlign w:val="bottom"/>
          </w:tcPr>
          <w:p w14:paraId="5F6180AF" w14:textId="77777777" w:rsidR="006709DA" w:rsidRPr="007D18AB" w:rsidRDefault="006709DA" w:rsidP="007A5D35">
            <w:pPr>
              <w:widowControl w:val="0"/>
              <w:spacing w:after="0" w:line="230" w:lineRule="exact"/>
              <w:ind w:left="271"/>
              <w:rPr>
                <w:rFonts w:ascii="Century Gothic" w:eastAsia="Century Gothic" w:hAnsi="Century Gothic" w:cs="Century Gothic"/>
                <w:sz w:val="20"/>
                <w:szCs w:val="20"/>
              </w:rPr>
            </w:pPr>
            <w:r>
              <w:rPr>
                <w:rFonts w:ascii="Century Gothic" w:hAnsi="Century Gothic"/>
                <w:color w:val="000000"/>
                <w:sz w:val="20"/>
                <w:szCs w:val="20"/>
              </w:rPr>
              <w:t>Veronica Estevez</w:t>
            </w:r>
          </w:p>
        </w:tc>
      </w:tr>
      <w:tr w:rsidR="006709DA" w:rsidRPr="007D18AB" w14:paraId="06AFF500" w14:textId="77777777" w:rsidTr="007A5D35">
        <w:trPr>
          <w:trHeight w:hRule="exact" w:val="246"/>
        </w:trPr>
        <w:tc>
          <w:tcPr>
            <w:tcW w:w="3084" w:type="dxa"/>
            <w:tcBorders>
              <w:top w:val="nil"/>
              <w:left w:val="nil"/>
              <w:bottom w:val="nil"/>
              <w:right w:val="nil"/>
            </w:tcBorders>
            <w:vAlign w:val="bottom"/>
          </w:tcPr>
          <w:p w14:paraId="24A11602" w14:textId="77777777" w:rsidR="006709DA" w:rsidRPr="007D18AB" w:rsidRDefault="006709DA" w:rsidP="007A5D35">
            <w:pPr>
              <w:widowControl w:val="0"/>
              <w:spacing w:after="0" w:line="231" w:lineRule="exact"/>
              <w:ind w:left="230"/>
              <w:rPr>
                <w:rFonts w:ascii="Century Gothic" w:eastAsia="Century Gothic" w:hAnsi="Century Gothic" w:cs="Century Gothic"/>
                <w:sz w:val="20"/>
                <w:szCs w:val="20"/>
              </w:rPr>
            </w:pPr>
            <w:r>
              <w:rPr>
                <w:rFonts w:ascii="Century Gothic" w:hAnsi="Century Gothic"/>
                <w:color w:val="000000"/>
                <w:sz w:val="20"/>
                <w:szCs w:val="20"/>
              </w:rPr>
              <w:t xml:space="preserve">Linda </w:t>
            </w:r>
            <w:proofErr w:type="spellStart"/>
            <w:r>
              <w:rPr>
                <w:rFonts w:ascii="Century Gothic" w:hAnsi="Century Gothic"/>
                <w:color w:val="000000"/>
                <w:sz w:val="20"/>
                <w:szCs w:val="20"/>
              </w:rPr>
              <w:t>Hix</w:t>
            </w:r>
            <w:proofErr w:type="spellEnd"/>
          </w:p>
        </w:tc>
        <w:tc>
          <w:tcPr>
            <w:tcW w:w="3108" w:type="dxa"/>
            <w:tcBorders>
              <w:top w:val="nil"/>
              <w:left w:val="nil"/>
              <w:bottom w:val="nil"/>
              <w:right w:val="nil"/>
            </w:tcBorders>
            <w:vAlign w:val="bottom"/>
          </w:tcPr>
          <w:p w14:paraId="52D618BA" w14:textId="77777777" w:rsidR="006709DA" w:rsidRPr="007D18AB" w:rsidRDefault="006709DA" w:rsidP="007A5D35">
            <w:pPr>
              <w:widowControl w:val="0"/>
              <w:spacing w:after="0" w:line="231" w:lineRule="exact"/>
              <w:ind w:left="261"/>
              <w:rPr>
                <w:rFonts w:ascii="Century Gothic" w:eastAsia="Century Gothic" w:hAnsi="Century Gothic" w:cs="Century Gothic"/>
                <w:sz w:val="20"/>
                <w:szCs w:val="20"/>
              </w:rPr>
            </w:pPr>
            <w:r>
              <w:rPr>
                <w:rFonts w:ascii="Century Gothic" w:hAnsi="Century Gothic"/>
                <w:color w:val="000000"/>
                <w:sz w:val="20"/>
                <w:szCs w:val="20"/>
              </w:rPr>
              <w:t>Kirk Russell</w:t>
            </w:r>
          </w:p>
        </w:tc>
        <w:tc>
          <w:tcPr>
            <w:tcW w:w="2481" w:type="dxa"/>
            <w:tcBorders>
              <w:top w:val="nil"/>
              <w:left w:val="nil"/>
              <w:bottom w:val="nil"/>
              <w:right w:val="nil"/>
            </w:tcBorders>
            <w:vAlign w:val="bottom"/>
          </w:tcPr>
          <w:p w14:paraId="7A7F74C7" w14:textId="77777777" w:rsidR="006709DA" w:rsidRPr="007D18AB" w:rsidRDefault="006709DA" w:rsidP="007A5D35">
            <w:pPr>
              <w:widowControl w:val="0"/>
              <w:spacing w:after="0" w:line="231" w:lineRule="exact"/>
              <w:ind w:left="271"/>
              <w:rPr>
                <w:rFonts w:ascii="Century Gothic" w:eastAsia="Century Gothic" w:hAnsi="Century Gothic" w:cs="Century Gothic"/>
                <w:sz w:val="20"/>
                <w:szCs w:val="20"/>
              </w:rPr>
            </w:pPr>
            <w:r>
              <w:rPr>
                <w:rFonts w:ascii="Century Gothic" w:hAnsi="Century Gothic"/>
                <w:color w:val="000000"/>
                <w:sz w:val="20"/>
                <w:szCs w:val="20"/>
              </w:rPr>
              <w:t>Bob Ziegler</w:t>
            </w:r>
          </w:p>
        </w:tc>
      </w:tr>
      <w:tr w:rsidR="006709DA" w:rsidRPr="007D18AB" w14:paraId="58452234" w14:textId="77777777" w:rsidTr="007A5D35">
        <w:trPr>
          <w:trHeight w:hRule="exact" w:val="245"/>
        </w:trPr>
        <w:tc>
          <w:tcPr>
            <w:tcW w:w="3084" w:type="dxa"/>
            <w:tcBorders>
              <w:top w:val="nil"/>
              <w:left w:val="nil"/>
              <w:bottom w:val="nil"/>
              <w:right w:val="nil"/>
            </w:tcBorders>
            <w:vAlign w:val="bottom"/>
          </w:tcPr>
          <w:p w14:paraId="2756BA79"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Michele Hensley</w:t>
            </w:r>
          </w:p>
        </w:tc>
        <w:tc>
          <w:tcPr>
            <w:tcW w:w="3108" w:type="dxa"/>
            <w:tcBorders>
              <w:top w:val="nil"/>
              <w:left w:val="nil"/>
              <w:bottom w:val="nil"/>
              <w:right w:val="nil"/>
            </w:tcBorders>
            <w:vAlign w:val="bottom"/>
          </w:tcPr>
          <w:p w14:paraId="453C73A5"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Pat Frost</w:t>
            </w:r>
          </w:p>
        </w:tc>
        <w:tc>
          <w:tcPr>
            <w:tcW w:w="2481" w:type="dxa"/>
            <w:tcBorders>
              <w:top w:val="nil"/>
              <w:left w:val="nil"/>
              <w:bottom w:val="nil"/>
              <w:right w:val="nil"/>
            </w:tcBorders>
            <w:vAlign w:val="bottom"/>
          </w:tcPr>
          <w:p w14:paraId="3B2D69EB" w14:textId="77777777" w:rsidR="006709DA" w:rsidRPr="007D18AB" w:rsidRDefault="006709DA" w:rsidP="007A5D35">
            <w:pPr>
              <w:widowControl w:val="0"/>
              <w:spacing w:after="0" w:line="230" w:lineRule="exact"/>
              <w:rPr>
                <w:rFonts w:ascii="Century Gothic" w:eastAsia="Century Gothic" w:hAnsi="Century Gothic" w:cs="Century Gothic"/>
                <w:sz w:val="20"/>
                <w:szCs w:val="20"/>
              </w:rPr>
            </w:pPr>
          </w:p>
        </w:tc>
      </w:tr>
      <w:tr w:rsidR="006709DA" w:rsidRPr="007D18AB" w14:paraId="11AA6B02" w14:textId="77777777" w:rsidTr="007A5D35">
        <w:trPr>
          <w:trHeight w:hRule="exact" w:val="245"/>
        </w:trPr>
        <w:tc>
          <w:tcPr>
            <w:tcW w:w="3084" w:type="dxa"/>
            <w:tcBorders>
              <w:top w:val="nil"/>
              <w:left w:val="nil"/>
              <w:bottom w:val="nil"/>
              <w:right w:val="nil"/>
            </w:tcBorders>
            <w:vAlign w:val="bottom"/>
          </w:tcPr>
          <w:p w14:paraId="6F3E09D1"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Randy Johnson</w:t>
            </w:r>
          </w:p>
        </w:tc>
        <w:tc>
          <w:tcPr>
            <w:tcW w:w="3108" w:type="dxa"/>
            <w:tcBorders>
              <w:top w:val="nil"/>
              <w:left w:val="nil"/>
              <w:bottom w:val="nil"/>
              <w:right w:val="nil"/>
            </w:tcBorders>
            <w:vAlign w:val="bottom"/>
          </w:tcPr>
          <w:p w14:paraId="3A0B8A77"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Shirley Vargas</w:t>
            </w:r>
          </w:p>
        </w:tc>
        <w:tc>
          <w:tcPr>
            <w:tcW w:w="2481" w:type="dxa"/>
            <w:tcBorders>
              <w:top w:val="nil"/>
              <w:left w:val="nil"/>
              <w:bottom w:val="nil"/>
              <w:right w:val="nil"/>
            </w:tcBorders>
            <w:vAlign w:val="bottom"/>
          </w:tcPr>
          <w:p w14:paraId="67CBD4AA" w14:textId="77777777" w:rsidR="006709DA" w:rsidRPr="007D18AB" w:rsidRDefault="006709DA" w:rsidP="007A5D35">
            <w:pPr>
              <w:widowControl w:val="0"/>
              <w:spacing w:after="0" w:line="230" w:lineRule="exact"/>
              <w:rPr>
                <w:rFonts w:ascii="Century Gothic" w:eastAsia="Century Gothic" w:hAnsi="Century Gothic" w:cs="Century Gothic"/>
                <w:sz w:val="20"/>
                <w:szCs w:val="20"/>
              </w:rPr>
            </w:pPr>
          </w:p>
        </w:tc>
      </w:tr>
      <w:tr w:rsidR="006709DA" w:rsidRPr="007D18AB" w14:paraId="61FE462D" w14:textId="77777777" w:rsidTr="007A5D35">
        <w:trPr>
          <w:trHeight w:hRule="exact" w:val="245"/>
        </w:trPr>
        <w:tc>
          <w:tcPr>
            <w:tcW w:w="3084" w:type="dxa"/>
            <w:tcBorders>
              <w:top w:val="nil"/>
              <w:left w:val="nil"/>
              <w:bottom w:val="nil"/>
              <w:right w:val="nil"/>
            </w:tcBorders>
            <w:vAlign w:val="bottom"/>
          </w:tcPr>
          <w:p w14:paraId="51D7D8C2" w14:textId="77777777" w:rsidR="006709DA" w:rsidRPr="007D18AB" w:rsidRDefault="006709DA" w:rsidP="007A5D35">
            <w:pPr>
              <w:widowControl w:val="0"/>
              <w:spacing w:after="0" w:line="230" w:lineRule="exact"/>
              <w:ind w:left="230"/>
              <w:rPr>
                <w:rFonts w:ascii="Century Gothic" w:eastAsia="Century Gothic" w:hAnsi="Century Gothic" w:cs="Century Gothic"/>
                <w:sz w:val="20"/>
                <w:szCs w:val="20"/>
              </w:rPr>
            </w:pPr>
            <w:r>
              <w:rPr>
                <w:rFonts w:ascii="Century Gothic" w:hAnsi="Century Gothic"/>
                <w:color w:val="000000"/>
                <w:sz w:val="20"/>
                <w:szCs w:val="20"/>
              </w:rPr>
              <w:t>Renee Hyde</w:t>
            </w:r>
          </w:p>
        </w:tc>
        <w:tc>
          <w:tcPr>
            <w:tcW w:w="3108" w:type="dxa"/>
            <w:tcBorders>
              <w:top w:val="nil"/>
              <w:left w:val="nil"/>
              <w:bottom w:val="nil"/>
              <w:right w:val="nil"/>
            </w:tcBorders>
            <w:vAlign w:val="bottom"/>
          </w:tcPr>
          <w:p w14:paraId="60A36AAF" w14:textId="77777777" w:rsidR="006709DA" w:rsidRPr="007D18AB" w:rsidRDefault="006709DA" w:rsidP="007A5D35">
            <w:pPr>
              <w:widowControl w:val="0"/>
              <w:spacing w:after="0" w:line="230" w:lineRule="exact"/>
              <w:ind w:left="261"/>
              <w:rPr>
                <w:rFonts w:ascii="Century Gothic" w:eastAsia="Century Gothic" w:hAnsi="Century Gothic" w:cs="Century Gothic"/>
                <w:sz w:val="20"/>
                <w:szCs w:val="20"/>
              </w:rPr>
            </w:pPr>
            <w:r>
              <w:rPr>
                <w:rFonts w:ascii="Century Gothic" w:hAnsi="Century Gothic"/>
                <w:color w:val="000000"/>
                <w:sz w:val="20"/>
                <w:szCs w:val="20"/>
              </w:rPr>
              <w:t>Sue Henry</w:t>
            </w:r>
          </w:p>
        </w:tc>
        <w:tc>
          <w:tcPr>
            <w:tcW w:w="2481" w:type="dxa"/>
            <w:tcBorders>
              <w:top w:val="nil"/>
              <w:left w:val="nil"/>
              <w:bottom w:val="nil"/>
              <w:right w:val="nil"/>
            </w:tcBorders>
            <w:vAlign w:val="bottom"/>
          </w:tcPr>
          <w:p w14:paraId="78409E1A" w14:textId="77777777" w:rsidR="006709DA" w:rsidRPr="007D18AB" w:rsidRDefault="006709DA" w:rsidP="007A5D35">
            <w:pPr>
              <w:widowControl w:val="0"/>
              <w:spacing w:after="0" w:line="240" w:lineRule="auto"/>
              <w:rPr>
                <w:rFonts w:ascii="Calibri" w:eastAsia="Calibri" w:hAnsi="Calibri" w:cs="Times New Roman"/>
              </w:rPr>
            </w:pPr>
          </w:p>
        </w:tc>
      </w:tr>
      <w:tr w:rsidR="006709DA" w:rsidRPr="007D18AB" w14:paraId="6BE0D16E" w14:textId="77777777" w:rsidTr="007A5D35">
        <w:trPr>
          <w:trHeight w:hRule="exact" w:val="245"/>
        </w:trPr>
        <w:tc>
          <w:tcPr>
            <w:tcW w:w="3084" w:type="dxa"/>
            <w:tcBorders>
              <w:top w:val="nil"/>
              <w:left w:val="nil"/>
              <w:bottom w:val="nil"/>
              <w:right w:val="nil"/>
            </w:tcBorders>
            <w:vAlign w:val="bottom"/>
          </w:tcPr>
          <w:p w14:paraId="72D71A90" w14:textId="77777777" w:rsidR="006709DA" w:rsidRPr="007D18AB" w:rsidRDefault="006709DA" w:rsidP="007A5D35">
            <w:pPr>
              <w:widowControl w:val="0"/>
              <w:spacing w:after="0" w:line="230" w:lineRule="exact"/>
              <w:ind w:left="230"/>
              <w:rPr>
                <w:rFonts w:ascii="Century Gothic" w:eastAsia="Calibri" w:hAnsi="Calibri" w:cs="Times New Roman"/>
                <w:sz w:val="20"/>
              </w:rPr>
            </w:pPr>
            <w:r>
              <w:rPr>
                <w:rFonts w:ascii="Century Gothic" w:hAnsi="Century Gothic"/>
                <w:color w:val="000000"/>
                <w:sz w:val="20"/>
                <w:szCs w:val="20"/>
              </w:rPr>
              <w:t>Tara James</w:t>
            </w:r>
          </w:p>
        </w:tc>
        <w:tc>
          <w:tcPr>
            <w:tcW w:w="3108" w:type="dxa"/>
            <w:tcBorders>
              <w:top w:val="nil"/>
              <w:left w:val="nil"/>
              <w:bottom w:val="nil"/>
              <w:right w:val="nil"/>
            </w:tcBorders>
            <w:vAlign w:val="bottom"/>
          </w:tcPr>
          <w:p w14:paraId="41230DEF" w14:textId="77777777" w:rsidR="006709DA" w:rsidRPr="007D18AB" w:rsidRDefault="006709DA" w:rsidP="007A5D35">
            <w:pPr>
              <w:widowControl w:val="0"/>
              <w:spacing w:after="0" w:line="230" w:lineRule="exact"/>
              <w:ind w:left="261"/>
              <w:rPr>
                <w:rFonts w:ascii="Century Gothic" w:eastAsia="Calibri" w:hAnsi="Calibri" w:cs="Times New Roman"/>
                <w:spacing w:val="-1"/>
                <w:sz w:val="20"/>
              </w:rPr>
            </w:pPr>
            <w:r>
              <w:rPr>
                <w:rFonts w:ascii="Century Gothic" w:hAnsi="Century Gothic"/>
                <w:color w:val="000000"/>
                <w:sz w:val="20"/>
                <w:szCs w:val="20"/>
              </w:rPr>
              <w:t>Terri Schuster</w:t>
            </w:r>
          </w:p>
        </w:tc>
        <w:tc>
          <w:tcPr>
            <w:tcW w:w="2481" w:type="dxa"/>
            <w:tcBorders>
              <w:top w:val="nil"/>
              <w:left w:val="nil"/>
              <w:bottom w:val="nil"/>
              <w:right w:val="nil"/>
            </w:tcBorders>
            <w:vAlign w:val="bottom"/>
          </w:tcPr>
          <w:p w14:paraId="78DA5AF8" w14:textId="77777777" w:rsidR="006709DA" w:rsidRDefault="006709DA" w:rsidP="007A5D35">
            <w:pPr>
              <w:widowControl w:val="0"/>
              <w:spacing w:after="0" w:line="240" w:lineRule="auto"/>
              <w:rPr>
                <w:rFonts w:ascii="Calibri" w:eastAsia="Calibri" w:hAnsi="Calibri" w:cs="Times New Roman"/>
              </w:rPr>
            </w:pPr>
          </w:p>
        </w:tc>
      </w:tr>
      <w:tr w:rsidR="006709DA" w:rsidRPr="007D18AB" w14:paraId="2ECFCAB0" w14:textId="77777777" w:rsidTr="007A5D35">
        <w:trPr>
          <w:trHeight w:hRule="exact" w:val="245"/>
        </w:trPr>
        <w:tc>
          <w:tcPr>
            <w:tcW w:w="3084" w:type="dxa"/>
            <w:tcBorders>
              <w:top w:val="nil"/>
              <w:left w:val="nil"/>
              <w:bottom w:val="nil"/>
              <w:right w:val="nil"/>
            </w:tcBorders>
          </w:tcPr>
          <w:p w14:paraId="2ACF542F" w14:textId="77777777" w:rsidR="006709DA" w:rsidRPr="007D18AB" w:rsidRDefault="006709DA" w:rsidP="007A5D35">
            <w:pPr>
              <w:widowControl w:val="0"/>
              <w:spacing w:after="0" w:line="230" w:lineRule="exact"/>
              <w:ind w:left="230"/>
              <w:rPr>
                <w:rFonts w:ascii="Century Gothic" w:eastAsia="Calibri" w:hAnsi="Calibri" w:cs="Times New Roman"/>
                <w:sz w:val="20"/>
              </w:rPr>
            </w:pPr>
          </w:p>
        </w:tc>
        <w:tc>
          <w:tcPr>
            <w:tcW w:w="3108" w:type="dxa"/>
            <w:tcBorders>
              <w:top w:val="nil"/>
              <w:left w:val="nil"/>
              <w:bottom w:val="nil"/>
              <w:right w:val="nil"/>
            </w:tcBorders>
            <w:vAlign w:val="bottom"/>
          </w:tcPr>
          <w:p w14:paraId="6EDD6637" w14:textId="77777777" w:rsidR="006709DA" w:rsidRPr="007D18AB" w:rsidRDefault="006709DA" w:rsidP="007A5D35">
            <w:pPr>
              <w:widowControl w:val="0"/>
              <w:spacing w:after="0" w:line="230" w:lineRule="exact"/>
              <w:ind w:left="261"/>
              <w:rPr>
                <w:rFonts w:ascii="Century Gothic" w:eastAsia="Calibri" w:hAnsi="Calibri" w:cs="Times New Roman"/>
                <w:spacing w:val="-1"/>
                <w:sz w:val="20"/>
              </w:rPr>
            </w:pPr>
            <w:r>
              <w:rPr>
                <w:rFonts w:ascii="Century Gothic" w:hAnsi="Century Gothic"/>
                <w:color w:val="000000"/>
                <w:sz w:val="20"/>
                <w:szCs w:val="20"/>
              </w:rPr>
              <w:t>Tim Vanderheiden</w:t>
            </w:r>
          </w:p>
        </w:tc>
        <w:tc>
          <w:tcPr>
            <w:tcW w:w="2481" w:type="dxa"/>
            <w:tcBorders>
              <w:top w:val="nil"/>
              <w:left w:val="nil"/>
              <w:bottom w:val="nil"/>
              <w:right w:val="nil"/>
            </w:tcBorders>
            <w:vAlign w:val="bottom"/>
          </w:tcPr>
          <w:p w14:paraId="3EA72F56" w14:textId="77777777" w:rsidR="006709DA" w:rsidRDefault="006709DA" w:rsidP="007A5D35">
            <w:pPr>
              <w:widowControl w:val="0"/>
              <w:spacing w:after="0" w:line="240" w:lineRule="auto"/>
              <w:rPr>
                <w:rFonts w:ascii="Calibri" w:eastAsia="Calibri" w:hAnsi="Calibri" w:cs="Times New Roman"/>
              </w:rPr>
            </w:pPr>
          </w:p>
        </w:tc>
      </w:tr>
    </w:tbl>
    <w:p w14:paraId="749F909C" w14:textId="77777777" w:rsidR="006709DA" w:rsidRDefault="006709DA" w:rsidP="006709DA">
      <w:pPr>
        <w:rPr>
          <w:rFonts w:ascii="Century Gothic" w:hAnsi="Century Gothic"/>
          <w:b/>
        </w:rPr>
      </w:pPr>
    </w:p>
    <w:p w14:paraId="287BA63C" w14:textId="77777777" w:rsidR="006709DA" w:rsidRPr="00CC1B5E" w:rsidRDefault="006709DA" w:rsidP="006709DA">
      <w:pPr>
        <w:rPr>
          <w:rFonts w:ascii="Century Gothic" w:hAnsi="Century Gothic"/>
          <w:b/>
        </w:rPr>
      </w:pPr>
      <w:r w:rsidRPr="00CC1B5E">
        <w:rPr>
          <w:rFonts w:ascii="Century Gothic" w:hAnsi="Century Gothic"/>
          <w:b/>
        </w:rPr>
        <w:t>Welcome &amp; Introductions</w:t>
      </w:r>
    </w:p>
    <w:p w14:paraId="2AA5257D" w14:textId="77777777" w:rsidR="006709DA" w:rsidRPr="00CC1B5E" w:rsidRDefault="006709DA" w:rsidP="006709DA">
      <w:pPr>
        <w:rPr>
          <w:rFonts w:ascii="Century Gothic" w:hAnsi="Century Gothic"/>
        </w:rPr>
      </w:pPr>
      <w:r w:rsidRPr="00CC1B5E">
        <w:rPr>
          <w:rFonts w:ascii="Century Gothic" w:hAnsi="Century Gothic"/>
        </w:rPr>
        <w:t>Renee Hyde welcomed everyone, and had them introduce themselves.  Diane Stuehmer shared some changes taking place on the ESEA Federal Programs team. Karen Hardin retired in June, Diane Stuehmer and Terri Schuster will be retiring in August. Adrian Bowen and Allyson Olson will be joining the team in July.  Other retirements on the Committee are; Renee Hyde and Randy Johnson. The service given to the Committee over the years, has been greatly appreciated.</w:t>
      </w:r>
    </w:p>
    <w:p w14:paraId="1C9BF026" w14:textId="77777777" w:rsidR="006709DA" w:rsidRPr="00CC1B5E" w:rsidRDefault="006709DA" w:rsidP="006709DA">
      <w:pPr>
        <w:rPr>
          <w:rFonts w:ascii="Century Gothic" w:hAnsi="Century Gothic"/>
        </w:rPr>
      </w:pPr>
      <w:r w:rsidRPr="00CC1B5E">
        <w:rPr>
          <w:rFonts w:ascii="Century Gothic" w:hAnsi="Century Gothic"/>
          <w:b/>
        </w:rPr>
        <w:t>Nebraska Open Meeting Acts (NOMA) Reminder</w:t>
      </w:r>
      <w:r w:rsidRPr="00CC1B5E">
        <w:rPr>
          <w:rFonts w:ascii="Century Gothic" w:hAnsi="Century Gothic"/>
        </w:rPr>
        <w:t xml:space="preserve"> </w:t>
      </w:r>
    </w:p>
    <w:p w14:paraId="25589D13" w14:textId="77777777" w:rsidR="006709DA" w:rsidRPr="00CC1B5E" w:rsidRDefault="006709DA" w:rsidP="006709DA">
      <w:pPr>
        <w:rPr>
          <w:rFonts w:ascii="Century Gothic" w:hAnsi="Century Gothic"/>
        </w:rPr>
      </w:pPr>
      <w:r w:rsidRPr="00CC1B5E">
        <w:rPr>
          <w:rFonts w:ascii="Century Gothic" w:hAnsi="Century Gothic"/>
        </w:rPr>
        <w:t xml:space="preserve">Renee issued a general reminder about the NOMA. </w:t>
      </w:r>
    </w:p>
    <w:p w14:paraId="538EAF61" w14:textId="77777777" w:rsidR="006709DA" w:rsidRPr="00CC1B5E" w:rsidRDefault="006709DA" w:rsidP="006709DA">
      <w:pPr>
        <w:rPr>
          <w:rFonts w:ascii="Century Gothic" w:hAnsi="Century Gothic"/>
        </w:rPr>
      </w:pPr>
      <w:r w:rsidRPr="00CC1B5E">
        <w:rPr>
          <w:rFonts w:ascii="Century Gothic" w:hAnsi="Century Gothic"/>
          <w:b/>
        </w:rPr>
        <w:t>Open for public comments</w:t>
      </w:r>
    </w:p>
    <w:p w14:paraId="23EAEF09" w14:textId="77777777" w:rsidR="006709DA" w:rsidRPr="00CC1B5E" w:rsidRDefault="006709DA" w:rsidP="006709DA">
      <w:pPr>
        <w:rPr>
          <w:rFonts w:ascii="Century Gothic" w:hAnsi="Century Gothic"/>
        </w:rPr>
      </w:pPr>
      <w:r w:rsidRPr="00CC1B5E">
        <w:rPr>
          <w:rFonts w:ascii="Century Gothic" w:hAnsi="Century Gothic"/>
        </w:rPr>
        <w:t>Renee asked if there were any public comments. None were made.</w:t>
      </w:r>
    </w:p>
    <w:p w14:paraId="06E0FB19" w14:textId="77777777" w:rsidR="006709DA" w:rsidRPr="00CC1B5E" w:rsidRDefault="006709DA" w:rsidP="006709DA">
      <w:pPr>
        <w:rPr>
          <w:rFonts w:ascii="Century Gothic" w:hAnsi="Century Gothic"/>
          <w:b/>
        </w:rPr>
      </w:pPr>
      <w:r w:rsidRPr="00CC1B5E">
        <w:rPr>
          <w:rFonts w:ascii="Century Gothic" w:hAnsi="Century Gothic"/>
          <w:b/>
        </w:rPr>
        <w:t>Approval of Minutes for March 26</w:t>
      </w:r>
      <w:r w:rsidRPr="00CC1B5E">
        <w:rPr>
          <w:rFonts w:ascii="Century Gothic" w:hAnsi="Century Gothic"/>
          <w:b/>
          <w:vertAlign w:val="superscript"/>
        </w:rPr>
        <w:t>th</w:t>
      </w:r>
      <w:r w:rsidRPr="00CC1B5E">
        <w:rPr>
          <w:rFonts w:ascii="Century Gothic" w:hAnsi="Century Gothic"/>
          <w:b/>
        </w:rPr>
        <w:t xml:space="preserve"> meeting</w:t>
      </w:r>
    </w:p>
    <w:p w14:paraId="000DA4DC" w14:textId="77777777" w:rsidR="006709DA" w:rsidRPr="00CC1B5E" w:rsidRDefault="006709DA" w:rsidP="006709DA">
      <w:pPr>
        <w:rPr>
          <w:rFonts w:ascii="Century Gothic" w:hAnsi="Century Gothic"/>
          <w:b/>
        </w:rPr>
      </w:pPr>
      <w:r w:rsidRPr="00CC1B5E">
        <w:rPr>
          <w:rFonts w:ascii="Century Gothic" w:hAnsi="Century Gothic"/>
        </w:rPr>
        <w:t xml:space="preserve">Tina Forte’ made a motion to approve the minutes from the March 26, 2019 meeting. Deb Ross seconded the motion. Motion unanimously approved. </w:t>
      </w:r>
    </w:p>
    <w:p w14:paraId="267A36EF" w14:textId="77777777" w:rsidR="006709DA" w:rsidRPr="00CC1B5E" w:rsidRDefault="006709DA" w:rsidP="006709DA">
      <w:pPr>
        <w:rPr>
          <w:rFonts w:ascii="Century Gothic" w:hAnsi="Century Gothic"/>
          <w:b/>
        </w:rPr>
      </w:pPr>
      <w:r w:rsidRPr="00CC1B5E">
        <w:rPr>
          <w:rFonts w:ascii="Century Gothic" w:hAnsi="Century Gothic"/>
          <w:b/>
        </w:rPr>
        <w:t>Election of COP Chairperson</w:t>
      </w:r>
    </w:p>
    <w:p w14:paraId="399A2C58" w14:textId="77777777" w:rsidR="006709DA" w:rsidRPr="00CC1B5E" w:rsidRDefault="006709DA" w:rsidP="006709DA">
      <w:pPr>
        <w:spacing w:after="0"/>
        <w:contextualSpacing/>
        <w:rPr>
          <w:rFonts w:ascii="Century Gothic" w:hAnsi="Century Gothic"/>
        </w:rPr>
      </w:pPr>
      <w:r w:rsidRPr="00CC1B5E">
        <w:rPr>
          <w:rFonts w:ascii="Century Gothic" w:hAnsi="Century Gothic"/>
        </w:rPr>
        <w:lastRenderedPageBreak/>
        <w:t xml:space="preserve">Diane Stuehmer reminded the group that Linda </w:t>
      </w:r>
      <w:proofErr w:type="spellStart"/>
      <w:r w:rsidRPr="00CC1B5E">
        <w:rPr>
          <w:rFonts w:ascii="Century Gothic" w:hAnsi="Century Gothic"/>
        </w:rPr>
        <w:t>Hix</w:t>
      </w:r>
      <w:proofErr w:type="spellEnd"/>
      <w:r w:rsidRPr="00CC1B5E">
        <w:rPr>
          <w:rFonts w:ascii="Century Gothic" w:hAnsi="Century Gothic"/>
        </w:rPr>
        <w:t xml:space="preserve"> was nominated at the previous COP meeting and asked if there were any other nominations. Ann Nickerson nominated Tina Forte’. Randy Johnson moved and Kris Schneider seconded to close nominations. A ballot vote was taken and Tina Forte’ was elected. </w:t>
      </w:r>
    </w:p>
    <w:p w14:paraId="6AA3F1F3" w14:textId="77777777" w:rsidR="006709DA" w:rsidRPr="00CC1B5E" w:rsidRDefault="006709DA" w:rsidP="006709DA">
      <w:pPr>
        <w:spacing w:after="0"/>
        <w:contextualSpacing/>
        <w:rPr>
          <w:rFonts w:ascii="Century Gothic" w:hAnsi="Century Gothic"/>
        </w:rPr>
      </w:pPr>
    </w:p>
    <w:p w14:paraId="2E85EA25" w14:textId="77777777" w:rsidR="006709DA" w:rsidRPr="00CC1B5E" w:rsidRDefault="006709DA" w:rsidP="006709DA">
      <w:pPr>
        <w:spacing w:after="0"/>
        <w:contextualSpacing/>
        <w:rPr>
          <w:rFonts w:ascii="Century Gothic" w:hAnsi="Century Gothic"/>
          <w:b/>
        </w:rPr>
      </w:pPr>
      <w:r w:rsidRPr="00CC1B5E">
        <w:rPr>
          <w:rFonts w:ascii="Century Gothic" w:hAnsi="Century Gothic"/>
          <w:b/>
        </w:rPr>
        <w:t>ESEA &amp; ESSA Information</w:t>
      </w:r>
    </w:p>
    <w:p w14:paraId="62745260" w14:textId="77777777" w:rsidR="006709DA" w:rsidRPr="00CC1B5E" w:rsidRDefault="006709DA" w:rsidP="006709DA">
      <w:pPr>
        <w:rPr>
          <w:rFonts w:ascii="Century Gothic" w:hAnsi="Century Gothic"/>
        </w:rPr>
      </w:pPr>
      <w:r w:rsidRPr="00CC1B5E">
        <w:rPr>
          <w:rFonts w:ascii="Century Gothic" w:hAnsi="Century Gothic"/>
        </w:rPr>
        <w:br/>
      </w:r>
      <w:r w:rsidRPr="00CC1B5E">
        <w:rPr>
          <w:rFonts w:ascii="Century Gothic" w:hAnsi="Century Gothic"/>
          <w:b/>
        </w:rPr>
        <w:t>Family and Community Engagement</w:t>
      </w:r>
    </w:p>
    <w:p w14:paraId="23890AE9" w14:textId="1C5255B0" w:rsidR="006709DA" w:rsidRPr="00CC1B5E" w:rsidRDefault="006709DA" w:rsidP="006709DA">
      <w:pPr>
        <w:rPr>
          <w:rFonts w:ascii="Century Gothic" w:hAnsi="Century Gothic"/>
        </w:rPr>
      </w:pPr>
      <w:r w:rsidRPr="00CC1B5E">
        <w:rPr>
          <w:rFonts w:ascii="Century Gothic" w:hAnsi="Century Gothic"/>
        </w:rPr>
        <w:t>Jan Handa shared a handout from Kim Larson about updates on Family and Community Engagement updates. Jan discussed the upcoming sessions in Hastings and Neligh for the Nebraska Framework for Positive Partnerships and Relationships for Student Success being offered in August and September. Information on the Statewide Family and Community Engagement Advisory Committee and the Collaboration with Nebraska ESUs taking place was also shared.  For more information about Family and Community Engagement, please contact Kim at kim.larson@nebraska.gov.</w:t>
      </w:r>
    </w:p>
    <w:p w14:paraId="5B7464E9" w14:textId="77777777" w:rsidR="006709DA" w:rsidRPr="00CC1B5E" w:rsidRDefault="006709DA" w:rsidP="006709DA">
      <w:pPr>
        <w:rPr>
          <w:rFonts w:ascii="Century Gothic" w:hAnsi="Century Gothic"/>
        </w:rPr>
      </w:pPr>
      <w:r w:rsidRPr="00CC1B5E">
        <w:rPr>
          <w:rFonts w:ascii="Century Gothic" w:hAnsi="Century Gothic"/>
          <w:b/>
        </w:rPr>
        <w:t>Equitable services</w:t>
      </w:r>
      <w:r w:rsidRPr="00CC1B5E">
        <w:rPr>
          <w:rFonts w:ascii="Century Gothic" w:hAnsi="Century Gothic"/>
        </w:rPr>
        <w:t xml:space="preserve"> </w:t>
      </w:r>
    </w:p>
    <w:p w14:paraId="1B501770" w14:textId="77777777" w:rsidR="006709DA" w:rsidRPr="00CC1B5E" w:rsidRDefault="006709DA" w:rsidP="006709DA">
      <w:pPr>
        <w:rPr>
          <w:rFonts w:ascii="Century Gothic" w:hAnsi="Century Gothic"/>
        </w:rPr>
      </w:pPr>
      <w:r w:rsidRPr="00CC1B5E">
        <w:rPr>
          <w:rFonts w:ascii="Century Gothic" w:hAnsi="Century Gothic"/>
        </w:rPr>
        <w:t>Tim Vanderheiden discusses equitable services. All schools have gone through consultation processes. Tim had sit in with LPS and GIPS to observe processes.  Diane discusses calculations for equitable services. To try and get calculations a little closer we have worked with DRE. II-A and IV-</w:t>
      </w:r>
      <w:proofErr w:type="gramStart"/>
      <w:r w:rsidRPr="00CC1B5E">
        <w:rPr>
          <w:rFonts w:ascii="Century Gothic" w:hAnsi="Century Gothic"/>
        </w:rPr>
        <w:t>A</w:t>
      </w:r>
      <w:proofErr w:type="gramEnd"/>
      <w:r w:rsidRPr="00CC1B5E">
        <w:rPr>
          <w:rFonts w:ascii="Century Gothic" w:hAnsi="Century Gothic"/>
        </w:rPr>
        <w:t xml:space="preserve"> are easy to calculate. </w:t>
      </w:r>
    </w:p>
    <w:p w14:paraId="6A9FE087" w14:textId="77777777" w:rsidR="006709DA" w:rsidRPr="00CC1B5E" w:rsidRDefault="006709DA" w:rsidP="006709DA">
      <w:pPr>
        <w:rPr>
          <w:rFonts w:ascii="Century Gothic" w:hAnsi="Century Gothic"/>
        </w:rPr>
      </w:pPr>
      <w:r w:rsidRPr="00CC1B5E">
        <w:rPr>
          <w:rFonts w:ascii="Century Gothic" w:hAnsi="Century Gothic"/>
          <w:b/>
        </w:rPr>
        <w:t>Preliminary allocations handout</w:t>
      </w:r>
      <w:r w:rsidRPr="00CC1B5E">
        <w:rPr>
          <w:rFonts w:ascii="Century Gothic" w:hAnsi="Century Gothic"/>
        </w:rPr>
        <w:t xml:space="preserve"> </w:t>
      </w:r>
    </w:p>
    <w:p w14:paraId="127587C4" w14:textId="77777777" w:rsidR="006709DA" w:rsidRPr="00CC1B5E" w:rsidRDefault="006709DA" w:rsidP="006709DA">
      <w:pPr>
        <w:rPr>
          <w:rFonts w:ascii="Century Gothic" w:hAnsi="Century Gothic"/>
        </w:rPr>
      </w:pPr>
      <w:r w:rsidRPr="00CC1B5E">
        <w:rPr>
          <w:rFonts w:ascii="Century Gothic" w:hAnsi="Century Gothic"/>
        </w:rPr>
        <w:t xml:space="preserve">Diane shared that for the first time in a long while final allocations have been released for most programs. The only programs without finals are Title IV-A and RLIS. Nebraska can start calculating District allocations and plan to open app by mid-July.  There are increases for all programs except Migrant and Title III. Title III numbers only down because formula has changed. Terri mentions that the formula has switched to amount of test takers for ELPA 21. </w:t>
      </w:r>
    </w:p>
    <w:p w14:paraId="41E6332F" w14:textId="77777777" w:rsidR="006709DA" w:rsidRPr="00CC1B5E" w:rsidRDefault="006709DA" w:rsidP="006709DA">
      <w:pPr>
        <w:rPr>
          <w:rFonts w:ascii="Century Gothic" w:hAnsi="Century Gothic"/>
        </w:rPr>
      </w:pPr>
      <w:r w:rsidRPr="00CC1B5E">
        <w:rPr>
          <w:rFonts w:ascii="Century Gothic" w:hAnsi="Century Gothic"/>
          <w:b/>
        </w:rPr>
        <w:t>ESSA consolidated app for 19-20</w:t>
      </w:r>
      <w:r w:rsidRPr="00CC1B5E">
        <w:rPr>
          <w:rFonts w:ascii="Century Gothic" w:hAnsi="Century Gothic"/>
        </w:rPr>
        <w:t xml:space="preserve">: Quick notes from Diane, goal 9 has changed; if you are a district that transfers funds, you have to have something in writing stating that nonpublic school is okay with that. Title I program change; question 3 changed slightly, added “long statement from Diane.” On targeting step 2; now have choice to rank schools with public and nonpublic, or just public. </w:t>
      </w:r>
    </w:p>
    <w:p w14:paraId="374668C4" w14:textId="77777777" w:rsidR="006709DA" w:rsidRPr="00CC1B5E" w:rsidRDefault="006709DA" w:rsidP="006709DA">
      <w:pPr>
        <w:rPr>
          <w:rFonts w:ascii="Century Gothic" w:hAnsi="Century Gothic"/>
        </w:rPr>
      </w:pPr>
      <w:r w:rsidRPr="00CC1B5E">
        <w:rPr>
          <w:rFonts w:ascii="Century Gothic" w:hAnsi="Century Gothic"/>
          <w:b/>
        </w:rPr>
        <w:t>Needs Improvement</w:t>
      </w:r>
      <w:r w:rsidRPr="00CC1B5E">
        <w:rPr>
          <w:rFonts w:ascii="Century Gothic" w:hAnsi="Century Gothic"/>
        </w:rPr>
        <w:t>: 27 CSI schools received funding for SFI grant. Highest grant was 836,000, lowest was 128,000. Schools were encouraged to only apply for an amount of money that could be used from the time it would be approved through September 30, 2020. The competitive process was very time consuming and Diane recommends moving to a formula process more similar to the Accountability funds in the future. The funds would have been able to be used much quicker had Nebraska done so.</w:t>
      </w:r>
    </w:p>
    <w:p w14:paraId="505A8B7B" w14:textId="77777777" w:rsidR="00DB1180" w:rsidRPr="00CC1B5E" w:rsidRDefault="00DB1180" w:rsidP="00DB1180">
      <w:pPr>
        <w:rPr>
          <w:rFonts w:ascii="Century Gothic" w:hAnsi="Century Gothic"/>
        </w:rPr>
      </w:pPr>
      <w:bookmarkStart w:id="0" w:name="_GoBack"/>
      <w:bookmarkEnd w:id="0"/>
      <w:r w:rsidRPr="00CC1B5E">
        <w:rPr>
          <w:rFonts w:ascii="Century Gothic" w:hAnsi="Century Gothic"/>
          <w:b/>
        </w:rPr>
        <w:t>ESSA/ESEA Program updates</w:t>
      </w:r>
      <w:r w:rsidRPr="00CC1B5E">
        <w:rPr>
          <w:rFonts w:ascii="Century Gothic" w:hAnsi="Century Gothic"/>
        </w:rPr>
        <w:t>:</w:t>
      </w:r>
    </w:p>
    <w:p w14:paraId="3CA5C1C1" w14:textId="77777777" w:rsidR="00DB1180" w:rsidRPr="00CC1B5E" w:rsidRDefault="00DB1180" w:rsidP="00DB1180">
      <w:pPr>
        <w:rPr>
          <w:rFonts w:ascii="Century Gothic" w:hAnsi="Century Gothic"/>
        </w:rPr>
      </w:pPr>
      <w:r w:rsidRPr="00CC1B5E">
        <w:rPr>
          <w:rFonts w:ascii="Century Gothic" w:hAnsi="Century Gothic"/>
          <w:b/>
        </w:rPr>
        <w:t>Title I-A</w:t>
      </w:r>
      <w:r w:rsidRPr="00CC1B5E">
        <w:rPr>
          <w:rFonts w:ascii="Century Gothic" w:hAnsi="Century Gothic"/>
        </w:rPr>
        <w:t>:  Diane Stuehmer share some highlights from the supplement and not supplant guidance that was released on June 19</w:t>
      </w:r>
      <w:r w:rsidRPr="00CC1B5E">
        <w:rPr>
          <w:rFonts w:ascii="Century Gothic" w:hAnsi="Century Gothic"/>
          <w:vertAlign w:val="superscript"/>
        </w:rPr>
        <w:t>th</w:t>
      </w:r>
      <w:r w:rsidRPr="00CC1B5E">
        <w:rPr>
          <w:rFonts w:ascii="Century Gothic" w:hAnsi="Century Gothic"/>
        </w:rPr>
        <w:t xml:space="preserve">. It is important that LEAs have a methodology for allocating State and local funds to schools that comply with supplement not supplant.  For example all buildings get the same per pupil allocation of state and local funds, and then Title I buildings receive Title I funding on top of that.  Reasonable and necessary is still required. </w:t>
      </w:r>
    </w:p>
    <w:p w14:paraId="3E06DB4F" w14:textId="77777777" w:rsidR="00DB1180" w:rsidRDefault="00DB1180" w:rsidP="00DB1180">
      <w:pPr>
        <w:rPr>
          <w:rFonts w:ascii="Century Gothic" w:hAnsi="Century Gothic"/>
        </w:rPr>
      </w:pPr>
      <w:r w:rsidRPr="00CC1B5E">
        <w:rPr>
          <w:rFonts w:ascii="Century Gothic" w:hAnsi="Century Gothic"/>
        </w:rPr>
        <w:t>Beth Wooster shared that the National ESEA conference will be in Atlanta this year. Registration is open. At the last COP meeting there was discussion about only considering Title I buildings for Distinguished School status also the possibility of providing some funding to support those buildings in going to the conference. The committee requested that Beth find out what other states are doing. Beth shared a spreadsheets of the responses she got from other states and their processes. All of the states responded that they only name Title I buildings. The majority of states responded that they do provide some funds, mostly from Title I reallocated funds. The committee discussed the findings and Ann Caruso moved that Nebraska only consider Title I buildings for Distinguished School status. Randy Johnson seconded the motion. The vote passes unanimously. Renee Hyde then moved to continue to investigate ways to reimburse expenses and to vote electronically after it has been determined that Nebraska would allow this with some of the reallocated funds. Ann Nickerson seconded the motion. The vote passed.</w:t>
      </w:r>
      <w:r>
        <w:rPr>
          <w:rFonts w:ascii="Century Gothic" w:hAnsi="Century Gothic"/>
        </w:rPr>
        <w:t xml:space="preserve">  </w:t>
      </w:r>
    </w:p>
    <w:p w14:paraId="370CC081" w14:textId="77777777" w:rsidR="006709DA" w:rsidRPr="00CC1B5E" w:rsidRDefault="006709DA" w:rsidP="006709DA">
      <w:pPr>
        <w:rPr>
          <w:rFonts w:ascii="Century Gothic" w:hAnsi="Century Gothic"/>
        </w:rPr>
      </w:pPr>
      <w:r w:rsidRPr="00CC1B5E">
        <w:rPr>
          <w:rFonts w:ascii="Century Gothic" w:hAnsi="Century Gothic"/>
          <w:b/>
        </w:rPr>
        <w:t>Time and Effort reporting</w:t>
      </w:r>
      <w:r w:rsidRPr="00CC1B5E">
        <w:rPr>
          <w:rFonts w:ascii="Century Gothic" w:hAnsi="Century Gothic"/>
        </w:rPr>
        <w:t xml:space="preserve">: While time and effort has been monitored closely over the last few years, it is now going to be tied to final reimbursements.  Tom </w:t>
      </w:r>
      <w:proofErr w:type="spellStart"/>
      <w:r w:rsidRPr="00CC1B5E">
        <w:rPr>
          <w:rFonts w:ascii="Century Gothic" w:hAnsi="Century Gothic"/>
        </w:rPr>
        <w:t>Goeschel</w:t>
      </w:r>
      <w:proofErr w:type="spellEnd"/>
      <w:r w:rsidRPr="00CC1B5E">
        <w:rPr>
          <w:rFonts w:ascii="Century Gothic" w:hAnsi="Century Gothic"/>
        </w:rPr>
        <w:t xml:space="preserve"> from the finance team will begin doing much of the financial monitoring for all programs, which includes time and effort. </w:t>
      </w:r>
    </w:p>
    <w:p w14:paraId="7F41F12C" w14:textId="77777777" w:rsidR="006709DA" w:rsidRPr="00CC1B5E" w:rsidRDefault="006709DA" w:rsidP="006709DA">
      <w:pPr>
        <w:rPr>
          <w:rFonts w:ascii="Century Gothic" w:hAnsi="Century Gothic"/>
        </w:rPr>
      </w:pPr>
      <w:r w:rsidRPr="00CC1B5E">
        <w:rPr>
          <w:rFonts w:ascii="Century Gothic" w:hAnsi="Century Gothic"/>
          <w:b/>
        </w:rPr>
        <w:t>ESSA/ESEA Program updates</w:t>
      </w:r>
      <w:r w:rsidRPr="00CC1B5E">
        <w:rPr>
          <w:rFonts w:ascii="Century Gothic" w:hAnsi="Century Gothic"/>
        </w:rPr>
        <w:t>:</w:t>
      </w:r>
    </w:p>
    <w:p w14:paraId="1FCE1CCC" w14:textId="77777777" w:rsidR="006709DA" w:rsidRPr="00CC1B5E" w:rsidRDefault="006709DA" w:rsidP="006709DA">
      <w:pPr>
        <w:rPr>
          <w:rFonts w:ascii="Century Gothic" w:hAnsi="Century Gothic"/>
        </w:rPr>
      </w:pPr>
      <w:r w:rsidRPr="00CC1B5E">
        <w:rPr>
          <w:rFonts w:ascii="Century Gothic" w:hAnsi="Century Gothic"/>
          <w:b/>
        </w:rPr>
        <w:t>Title I-A</w:t>
      </w:r>
      <w:r w:rsidRPr="00CC1B5E">
        <w:rPr>
          <w:rFonts w:ascii="Century Gothic" w:hAnsi="Century Gothic"/>
        </w:rPr>
        <w:t>:  Diane Stuehmer share some highlights from the supplement and not supplant guidance that was released on June 19</w:t>
      </w:r>
      <w:r w:rsidRPr="00CC1B5E">
        <w:rPr>
          <w:rFonts w:ascii="Century Gothic" w:hAnsi="Century Gothic"/>
          <w:vertAlign w:val="superscript"/>
        </w:rPr>
        <w:t>th</w:t>
      </w:r>
      <w:r w:rsidRPr="00CC1B5E">
        <w:rPr>
          <w:rFonts w:ascii="Century Gothic" w:hAnsi="Century Gothic"/>
        </w:rPr>
        <w:t xml:space="preserve">. It is important that LEAs have a methodology for allocating State and local funds to schools that comply with supplement not supplant.  For example all buildings get the same per pupil allocation of state and local funds, and then Title I buildings receive Title I funding on top of that.  Reasonable and necessary is still required. </w:t>
      </w:r>
    </w:p>
    <w:p w14:paraId="413382AB" w14:textId="77777777" w:rsidR="006709DA" w:rsidRDefault="006709DA" w:rsidP="006709DA">
      <w:pPr>
        <w:rPr>
          <w:rFonts w:ascii="Century Gothic" w:hAnsi="Century Gothic"/>
        </w:rPr>
      </w:pPr>
      <w:r w:rsidRPr="00CC1B5E">
        <w:rPr>
          <w:rFonts w:ascii="Century Gothic" w:hAnsi="Century Gothic"/>
        </w:rPr>
        <w:t>Beth Wooster shared that the National ESEA conference will be in Atlanta this year. Registration is open. At the last COP meeting there was discussion about only considering Title I buildings for Distinguished School status also the possibility of providing some funding to support those buildings in going to the conference. The committee requested that Beth find out what other states are doing. Beth shared a spreadsheets of the responses she got from other states and their processes. All of the states responded that they only name Title I buildings. The majority of states responded that they do provide some funds, mostly from Title I reallocated funds. The committee discussed the findings and Ann Caruso moved that Nebraska only consider Title I buildings for Distinguished School status. Randy Johnson seconded the motion. The vote passes unanimously. Renee Hyde then moved to continue to investigate ways to reimburse expenses and to vote electronically after it has been determined that Nebraska would allow this with some of the reallocated funds. Ann Nickerson seconded the motion. The vote passed.</w:t>
      </w:r>
      <w:r>
        <w:rPr>
          <w:rFonts w:ascii="Century Gothic" w:hAnsi="Century Gothic"/>
        </w:rPr>
        <w:t xml:space="preserve">  </w:t>
      </w:r>
    </w:p>
    <w:p w14:paraId="7028BBAD" w14:textId="77777777" w:rsidR="006709DA" w:rsidRPr="007D18AB" w:rsidRDefault="006709DA" w:rsidP="006709DA">
      <w:pPr>
        <w:rPr>
          <w:rFonts w:ascii="Century Gothic" w:hAnsi="Century Gothic"/>
        </w:rPr>
      </w:pPr>
      <w:r w:rsidRPr="007D18AB">
        <w:rPr>
          <w:rFonts w:ascii="Century Gothic" w:hAnsi="Century Gothic"/>
          <w:b/>
        </w:rPr>
        <w:t>Nebraska Leadership and Learning Network (NLLN)</w:t>
      </w:r>
    </w:p>
    <w:p w14:paraId="65B4C8B7" w14:textId="77777777" w:rsidR="006709DA" w:rsidRPr="007D18AB" w:rsidRDefault="006709DA" w:rsidP="006709DA">
      <w:pPr>
        <w:rPr>
          <w:rFonts w:ascii="Century Gothic" w:hAnsi="Century Gothic"/>
        </w:rPr>
      </w:pPr>
      <w:r w:rsidRPr="007D18AB">
        <w:rPr>
          <w:rFonts w:ascii="Century Gothic" w:hAnsi="Century Gothic"/>
        </w:rPr>
        <w:t>The Nebraska Leadership and Learning Network (NLLN) is a group of NDE, ESU, and other educational organizations committed to ensuring that students in Nebraska experience educational equity.  Conversations around equity-driven leaders have led to a process never before accomplished in Nebraska.  Four principals and their supervisors were chosen by the NDE to come together to determine what a statewide system of supports for Nebraska’s school principals would look like.  The unique part of this process is that other educational organizations are at the table listening and learning from these principals and supervisors, so that together as a state, we can determine what everyone’s roles are when it comes to supporting Nebraska’s principals.  Approximately once a month, the principals and supervisors are meeting together with a representative from almost every ESU in the state, along with representatives from NCSA, higher education teacher prep programs, and NDE.  After each meeting, the NDE facilitates an hour-long, invitation-only webinar, in which a summary of the NLLN is given and then participants give their own feedback. Participants in these webinars include representatives from OPS, LPS, NSEA, NASB, and the Urban League.  The end goal is for all educational groups involved in the conversations to partner up and help the principals and their supervisors roll out a statewide system of support, first for Nebraska’s Needs Improvement Schools, and then eventually for all schools.  The success of this process depends on the ability of all educational groups involved to work together to determine what each of their organizations can contribute individually to the benefit of the whole.</w:t>
      </w:r>
    </w:p>
    <w:p w14:paraId="638511D5" w14:textId="77777777" w:rsidR="006709DA" w:rsidRPr="007D18AB" w:rsidRDefault="006709DA" w:rsidP="006709DA">
      <w:pPr>
        <w:rPr>
          <w:rFonts w:ascii="Century Gothic" w:hAnsi="Century Gothic"/>
          <w:b/>
        </w:rPr>
      </w:pPr>
      <w:r w:rsidRPr="007D18AB">
        <w:rPr>
          <w:rFonts w:ascii="Century Gothic" w:hAnsi="Century Gothic"/>
          <w:b/>
        </w:rPr>
        <w:t>Effective Educator</w:t>
      </w:r>
    </w:p>
    <w:p w14:paraId="672D29E0" w14:textId="02D87352" w:rsidR="007D18AB" w:rsidRDefault="006709DA" w:rsidP="007D18AB">
      <w:pPr>
        <w:rPr>
          <w:rFonts w:ascii="Century Gothic" w:hAnsi="Century Gothic"/>
        </w:rPr>
      </w:pPr>
      <w:r w:rsidRPr="007D18AB">
        <w:rPr>
          <w:rFonts w:ascii="Century Gothic" w:hAnsi="Century Gothic"/>
        </w:rPr>
        <w:t>The Every Student Succeeds Act (ESSA) requires each state plan to describe how low-income and minority children enrolled in Title 1 schools are not served at disproportionate rates by ineffective, out-of-field, or inexperienced teachers, and the measures the state education agency (SEA) will use to evaluate and publicly report the progress with respect to such description.  Also required—each local education agency (LEA) plan shall describe how it will identify and address any disparities that result in low-income and minority students being taught at higher rates than other students by ineffective, inexperienced, or out-of-field teachers.  Conversations are currently happening at the NDE about the need to 1) ensure that the chosen definition of ineffective reflects the overall vision of educator effectiveness in Nebraska, 2) minimize costs and time burden for districts and educators, 3) maximize educator and other stakeholder engagement, and 4) create coherence across the various state data-reporting and plan-development requirements.  Since February 2019, stakeholders groups have been convened to create broad definitions of “effective teacher” and “ineffective teacher”.  These broad definitions will inform the revision of the Nebraska Teacher Principal Performance Framework (NTPPF).  The NDE is also currently developing a communication plan so that all stakeholders are kept informed of the process.</w:t>
      </w:r>
    </w:p>
    <w:p w14:paraId="0B95B8A1" w14:textId="399D6B61" w:rsidR="003C3FBF" w:rsidRPr="003C3FBF" w:rsidRDefault="003C3FBF" w:rsidP="007D18AB">
      <w:pPr>
        <w:rPr>
          <w:rFonts w:ascii="Century Gothic" w:hAnsi="Century Gothic"/>
          <w:b/>
        </w:rPr>
      </w:pPr>
      <w:r w:rsidRPr="003C3FBF">
        <w:rPr>
          <w:rFonts w:ascii="Century Gothic" w:hAnsi="Century Gothic"/>
          <w:b/>
        </w:rPr>
        <w:t>Nonpublic Update</w:t>
      </w:r>
    </w:p>
    <w:p w14:paraId="0ED71B65" w14:textId="4DB1BF01" w:rsidR="003C3FBF" w:rsidRDefault="00453A6A">
      <w:pPr>
        <w:rPr>
          <w:rFonts w:ascii="Century Gothic" w:hAnsi="Century Gothic"/>
        </w:rPr>
      </w:pPr>
      <w:r w:rsidRPr="00453A6A">
        <w:rPr>
          <w:rFonts w:ascii="Century Gothic" w:hAnsi="Century Gothic"/>
        </w:rPr>
        <w:t>Tim Vanderheiden shared the 2018-19 Nonpublic Federal Programs wit</w:t>
      </w:r>
      <w:r w:rsidR="00917F54">
        <w:rPr>
          <w:rFonts w:ascii="Century Gothic" w:hAnsi="Century Gothic"/>
        </w:rPr>
        <w:t>hin Boundaries Consultations and stated that they are 100% complete.</w:t>
      </w:r>
      <w:r w:rsidRPr="00453A6A">
        <w:rPr>
          <w:rFonts w:ascii="Century Gothic" w:hAnsi="Century Gothic"/>
        </w:rPr>
        <w:t xml:space="preserve"> Title I Nonpublic Consultations have one school left to submit. This school has not responded to phone messages or email and is going through a superintendent change. Plans are in place to contact the superintendent the first part of July.</w:t>
      </w:r>
    </w:p>
    <w:p w14:paraId="28DE29C5" w14:textId="71339229" w:rsidR="003C3FBF" w:rsidRDefault="00584468" w:rsidP="003C3FBF">
      <w:pPr>
        <w:rPr>
          <w:rFonts w:ascii="Century Gothic" w:hAnsi="Century Gothic"/>
        </w:rPr>
      </w:pPr>
      <w:r>
        <w:rPr>
          <w:rFonts w:ascii="Century Gothic" w:hAnsi="Century Gothic"/>
          <w:b/>
        </w:rPr>
        <w:t>Title I-A School Improvement Grant (</w:t>
      </w:r>
      <w:r w:rsidR="00F2186D" w:rsidRPr="003C3FBF">
        <w:rPr>
          <w:rFonts w:ascii="Century Gothic" w:hAnsi="Century Gothic"/>
          <w:b/>
        </w:rPr>
        <w:t>SIG</w:t>
      </w:r>
      <w:r>
        <w:rPr>
          <w:rFonts w:ascii="Century Gothic" w:hAnsi="Century Gothic"/>
          <w:b/>
        </w:rPr>
        <w:t>)</w:t>
      </w:r>
    </w:p>
    <w:p w14:paraId="7B1CFE29" w14:textId="77777777" w:rsidR="00453A6A" w:rsidRDefault="00453A6A" w:rsidP="003C3FBF">
      <w:pPr>
        <w:rPr>
          <w:rFonts w:ascii="Century Gothic" w:hAnsi="Century Gothic"/>
        </w:rPr>
      </w:pPr>
      <w:r w:rsidRPr="00453A6A">
        <w:rPr>
          <w:rFonts w:ascii="Century Gothic" w:hAnsi="Century Gothic"/>
        </w:rPr>
        <w:t xml:space="preserve">Tim Vanderheiden provided an updated on the progress of the School Improvement Grants (SIG).  All seven schools had their spring on-site monitoring visits during the months of April and May.  During these monitoring visits, separate interviews were held with their Instructional and Leadership Teams. Also during the visits programs and equipment funded by the grant were verified, as well as, making sure equipment was located in appropriate buildings and/or disposed of appropriately. After the visit Karen met with the schools financial personnel to clarify Time and Effort, Budgetary, Staff Coding issue and to provide an informal Question/Answer opportunity. </w:t>
      </w:r>
    </w:p>
    <w:p w14:paraId="750C23F3" w14:textId="0AB92068" w:rsidR="003C3FBF" w:rsidRPr="003C3FBF" w:rsidRDefault="003C3FBF" w:rsidP="003C3FBF">
      <w:pPr>
        <w:rPr>
          <w:rFonts w:ascii="Century Gothic" w:hAnsi="Century Gothic"/>
        </w:rPr>
      </w:pPr>
      <w:r w:rsidRPr="003C3FBF">
        <w:rPr>
          <w:rFonts w:ascii="Century Gothic" w:hAnsi="Century Gothic"/>
        </w:rPr>
        <w:t>Additionally, Tim shared on June 5th all seven schools were in attendance for the required End-of-the-Year SIG Presentation.  This year’s presentations were of consistent quality and all schools exhibited in their student and staff growth outcomes. The end of the year presentations have proven to be a great networking and validating experience for the SIG schools. Schools are currently working on submitting their end of the year reimbursement requests.</w:t>
      </w:r>
    </w:p>
    <w:p w14:paraId="05A1F686" w14:textId="6DCC1FAE" w:rsidR="00F2186D" w:rsidRDefault="003C3FBF" w:rsidP="003C3FBF">
      <w:pPr>
        <w:rPr>
          <w:rFonts w:ascii="Century Gothic" w:hAnsi="Century Gothic"/>
        </w:rPr>
      </w:pPr>
      <w:r w:rsidRPr="003C3FBF">
        <w:rPr>
          <w:rFonts w:ascii="Century Gothic" w:hAnsi="Century Gothic"/>
        </w:rPr>
        <w:t xml:space="preserve">This was the last year for Paddack Elementary as part of SIG. Next year (2019-20) will be the last year for Lincoln HS, Madison MS, </w:t>
      </w:r>
      <w:proofErr w:type="spellStart"/>
      <w:r w:rsidRPr="003C3FBF">
        <w:rPr>
          <w:rFonts w:ascii="Century Gothic" w:hAnsi="Century Gothic"/>
        </w:rPr>
        <w:t>Wakonda</w:t>
      </w:r>
      <w:proofErr w:type="spellEnd"/>
      <w:r w:rsidRPr="003C3FBF">
        <w:rPr>
          <w:rFonts w:ascii="Century Gothic" w:hAnsi="Century Gothic"/>
        </w:rPr>
        <w:t xml:space="preserve"> Elementary, and </w:t>
      </w:r>
      <w:proofErr w:type="spellStart"/>
      <w:r w:rsidRPr="003C3FBF">
        <w:rPr>
          <w:rFonts w:ascii="Century Gothic" w:hAnsi="Century Gothic"/>
        </w:rPr>
        <w:t>UmoN</w:t>
      </w:r>
      <w:proofErr w:type="spellEnd"/>
      <w:r w:rsidRPr="003C3FBF">
        <w:rPr>
          <w:rFonts w:ascii="Century Gothic" w:hAnsi="Century Gothic"/>
        </w:rPr>
        <w:t xml:space="preserve"> </w:t>
      </w:r>
      <w:proofErr w:type="spellStart"/>
      <w:r w:rsidRPr="003C3FBF">
        <w:rPr>
          <w:rFonts w:ascii="Century Gothic" w:hAnsi="Century Gothic"/>
        </w:rPr>
        <w:t>HoN</w:t>
      </w:r>
      <w:proofErr w:type="spellEnd"/>
      <w:r w:rsidRPr="003C3FBF">
        <w:rPr>
          <w:rFonts w:ascii="Century Gothic" w:hAnsi="Century Gothic"/>
        </w:rPr>
        <w:t xml:space="preserve"> Nation Elementary. 2020-21 will be the last year for SIG, as well as, Schuyler Central HS and </w:t>
      </w:r>
      <w:proofErr w:type="spellStart"/>
      <w:r w:rsidRPr="003C3FBF">
        <w:rPr>
          <w:rFonts w:ascii="Century Gothic" w:hAnsi="Century Gothic"/>
        </w:rPr>
        <w:t>Walthill</w:t>
      </w:r>
      <w:proofErr w:type="spellEnd"/>
      <w:r w:rsidRPr="003C3FBF">
        <w:rPr>
          <w:rFonts w:ascii="Century Gothic" w:hAnsi="Century Gothic"/>
        </w:rPr>
        <w:t xml:space="preserve"> Elementary.</w:t>
      </w:r>
    </w:p>
    <w:p w14:paraId="7A250F1D" w14:textId="003624D4" w:rsidR="00164EE4" w:rsidRDefault="00653FC2">
      <w:pPr>
        <w:rPr>
          <w:rFonts w:ascii="Century Gothic" w:hAnsi="Century Gothic"/>
        </w:rPr>
      </w:pPr>
      <w:r w:rsidRPr="00A51F85">
        <w:rPr>
          <w:rFonts w:ascii="Century Gothic" w:hAnsi="Century Gothic"/>
          <w:b/>
        </w:rPr>
        <w:t>Title I-C</w:t>
      </w:r>
      <w:r>
        <w:rPr>
          <w:rFonts w:ascii="Century Gothic" w:hAnsi="Century Gothic"/>
        </w:rPr>
        <w:t xml:space="preserve">: </w:t>
      </w:r>
      <w:r w:rsidR="00164EE4" w:rsidRPr="00164EE4">
        <w:rPr>
          <w:rFonts w:ascii="Century Gothic" w:hAnsi="Century Gothic"/>
        </w:rPr>
        <w:t xml:space="preserve">Two transitions in Migrant projects. ESU 1 has new hired a new Program Coordinator and LPS has two new people to coordinator their </w:t>
      </w:r>
      <w:r w:rsidR="00453A6A">
        <w:rPr>
          <w:rFonts w:ascii="Century Gothic" w:hAnsi="Century Gothic"/>
        </w:rPr>
        <w:t>Migrant Education Program (MEP)</w:t>
      </w:r>
      <w:r w:rsidR="00164EE4" w:rsidRPr="00164EE4">
        <w:rPr>
          <w:rFonts w:ascii="Century Gothic" w:hAnsi="Century Gothic"/>
        </w:rPr>
        <w:t xml:space="preserve">. Parent and Student recognition conference, over 200 migrant parents and students attended. A private funder provided scholarship to two graduating migrant students. The State Migrant Conference was in Kearney April 15-18. UNMC provided mental health first aid training. Assistant Attorney General Glen Parks provided a keynote on labor trafficking in Nebraska, and Jessica </w:t>
      </w:r>
      <w:proofErr w:type="spellStart"/>
      <w:r w:rsidR="00164EE4" w:rsidRPr="00164EE4">
        <w:rPr>
          <w:rFonts w:ascii="Century Gothic" w:hAnsi="Century Gothic"/>
        </w:rPr>
        <w:t>Castañeda</w:t>
      </w:r>
      <w:proofErr w:type="spellEnd"/>
      <w:r w:rsidR="00164EE4" w:rsidRPr="00164EE4">
        <w:rPr>
          <w:rFonts w:ascii="Century Gothic" w:hAnsi="Century Gothic"/>
        </w:rPr>
        <w:t xml:space="preserve"> was also a keynote speaker and discussed Ag trend in Nebraska and the U.S.  National Migrant Education conference was in New Orleans and our state was well represented. The past three weeks, we have been visiting several of the 27 MEP Summer Programs throughout state. Eleven Bi-national teachers from Mexico have been teaching within these programs. </w:t>
      </w:r>
    </w:p>
    <w:p w14:paraId="57327D0E" w14:textId="62F27FED" w:rsidR="00653FC2" w:rsidRDefault="00653FC2">
      <w:pPr>
        <w:rPr>
          <w:rFonts w:ascii="Century Gothic" w:hAnsi="Century Gothic"/>
        </w:rPr>
      </w:pPr>
      <w:r w:rsidRPr="00A51F85">
        <w:rPr>
          <w:rFonts w:ascii="Century Gothic" w:hAnsi="Century Gothic"/>
          <w:b/>
        </w:rPr>
        <w:t>Title I-D</w:t>
      </w:r>
      <w:r>
        <w:rPr>
          <w:rFonts w:ascii="Century Gothic" w:hAnsi="Century Gothic"/>
        </w:rPr>
        <w:t xml:space="preserve">: </w:t>
      </w:r>
      <w:r w:rsidR="00164EE4" w:rsidRPr="00164EE4">
        <w:rPr>
          <w:rFonts w:ascii="Century Gothic" w:hAnsi="Century Gothic"/>
        </w:rPr>
        <w:t>Pat Frost discussed the June National Part D conference which included her participation in panel presentations and training of new state coordinators. Information was shared regarding the monthly meetings with Office of Probation and NE H</w:t>
      </w:r>
      <w:r w:rsidR="00453A6A">
        <w:rPr>
          <w:rFonts w:ascii="Century Gothic" w:hAnsi="Century Gothic"/>
        </w:rPr>
        <w:t xml:space="preserve">ealth &amp; </w:t>
      </w:r>
      <w:r w:rsidR="00164EE4" w:rsidRPr="00164EE4">
        <w:rPr>
          <w:rFonts w:ascii="Century Gothic" w:hAnsi="Century Gothic"/>
        </w:rPr>
        <w:t>H</w:t>
      </w:r>
      <w:r w:rsidR="00453A6A">
        <w:rPr>
          <w:rFonts w:ascii="Century Gothic" w:hAnsi="Century Gothic"/>
        </w:rPr>
        <w:t xml:space="preserve">uman </w:t>
      </w:r>
      <w:r w:rsidR="00164EE4" w:rsidRPr="00164EE4">
        <w:rPr>
          <w:rFonts w:ascii="Century Gothic" w:hAnsi="Century Gothic"/>
        </w:rPr>
        <w:t>S</w:t>
      </w:r>
      <w:r w:rsidR="00453A6A">
        <w:rPr>
          <w:rFonts w:ascii="Century Gothic" w:hAnsi="Century Gothic"/>
        </w:rPr>
        <w:t>ervices</w:t>
      </w:r>
      <w:r w:rsidR="00164EE4" w:rsidRPr="00164EE4">
        <w:rPr>
          <w:rFonts w:ascii="Century Gothic" w:hAnsi="Century Gothic"/>
        </w:rPr>
        <w:t>. She has started collaboration meetings within the department to share information on this group of mobile students. She gave information on the upcoming October count and on the Annual Performance Report for this 18-19 school year.</w:t>
      </w:r>
    </w:p>
    <w:p w14:paraId="26F69CCE" w14:textId="544F997D" w:rsidR="008B20BC" w:rsidRDefault="008B20BC">
      <w:pPr>
        <w:rPr>
          <w:rFonts w:ascii="Century Gothic" w:hAnsi="Century Gothic"/>
        </w:rPr>
      </w:pPr>
      <w:r w:rsidRPr="00A51F85">
        <w:rPr>
          <w:rFonts w:ascii="Century Gothic" w:hAnsi="Century Gothic"/>
          <w:b/>
        </w:rPr>
        <w:t>Title II-A</w:t>
      </w:r>
      <w:r>
        <w:rPr>
          <w:rFonts w:ascii="Century Gothic" w:hAnsi="Century Gothic"/>
        </w:rPr>
        <w:t xml:space="preserve">: </w:t>
      </w:r>
      <w:r w:rsidR="00164EE4">
        <w:rPr>
          <w:rFonts w:ascii="Century Gothic" w:hAnsi="Century Gothic"/>
        </w:rPr>
        <w:t>Nothing to report.</w:t>
      </w:r>
    </w:p>
    <w:p w14:paraId="77A4CAA2" w14:textId="4A1E0378" w:rsidR="008B20BC" w:rsidRDefault="008B20BC">
      <w:pPr>
        <w:rPr>
          <w:rFonts w:ascii="Century Gothic" w:hAnsi="Century Gothic"/>
        </w:rPr>
      </w:pPr>
      <w:r w:rsidRPr="00A51F85">
        <w:rPr>
          <w:rFonts w:ascii="Century Gothic" w:hAnsi="Century Gothic"/>
          <w:b/>
        </w:rPr>
        <w:t>Title III</w:t>
      </w:r>
      <w:r>
        <w:rPr>
          <w:rFonts w:ascii="Century Gothic" w:hAnsi="Century Gothic"/>
        </w:rPr>
        <w:t xml:space="preserve">: Allocations are down, </w:t>
      </w:r>
      <w:r w:rsidR="00453A6A">
        <w:rPr>
          <w:rFonts w:ascii="Century Gothic" w:hAnsi="Century Gothic"/>
        </w:rPr>
        <w:t xml:space="preserve">but </w:t>
      </w:r>
      <w:r>
        <w:rPr>
          <w:rFonts w:ascii="Century Gothic" w:hAnsi="Century Gothic"/>
        </w:rPr>
        <w:t xml:space="preserve">not as low as expected. Sending out preliminary counts for GMS. A few changes to GMS, noted in handouts in yellow. Terri </w:t>
      </w:r>
      <w:r w:rsidR="00453A6A">
        <w:rPr>
          <w:rFonts w:ascii="Century Gothic" w:hAnsi="Century Gothic"/>
        </w:rPr>
        <w:t>went</w:t>
      </w:r>
      <w:r>
        <w:rPr>
          <w:rFonts w:ascii="Century Gothic" w:hAnsi="Century Gothic"/>
        </w:rPr>
        <w:t xml:space="preserve"> over examples on handout. ELPA 21 currently has two assessments. ELPA 21 summative, and ELPA 21 Dynamic Screener, which is open year round. </w:t>
      </w:r>
      <w:r w:rsidR="00453A6A">
        <w:rPr>
          <w:rFonts w:ascii="Century Gothic" w:hAnsi="Century Gothic"/>
        </w:rPr>
        <w:t>The d</w:t>
      </w:r>
      <w:r>
        <w:rPr>
          <w:rFonts w:ascii="Century Gothic" w:hAnsi="Century Gothic"/>
        </w:rPr>
        <w:t xml:space="preserve">ifference is they need downtime to retool the program. </w:t>
      </w:r>
      <w:r w:rsidR="00453A6A">
        <w:rPr>
          <w:rFonts w:ascii="Century Gothic" w:hAnsi="Century Gothic"/>
        </w:rPr>
        <w:t>The s</w:t>
      </w:r>
      <w:r>
        <w:rPr>
          <w:rFonts w:ascii="Century Gothic" w:hAnsi="Century Gothic"/>
        </w:rPr>
        <w:t xml:space="preserve">creener opens August 1. </w:t>
      </w:r>
      <w:r w:rsidR="00453A6A">
        <w:rPr>
          <w:rFonts w:ascii="Century Gothic" w:hAnsi="Century Gothic"/>
        </w:rPr>
        <w:t>The o</w:t>
      </w:r>
      <w:r>
        <w:rPr>
          <w:rFonts w:ascii="Century Gothic" w:hAnsi="Century Gothic"/>
        </w:rPr>
        <w:t xml:space="preserve">nline reporting system is changing to Airways Reporting, just a site upgrade, </w:t>
      </w:r>
      <w:r w:rsidR="00453A6A">
        <w:rPr>
          <w:rFonts w:ascii="Century Gothic" w:hAnsi="Century Gothic"/>
        </w:rPr>
        <w:t xml:space="preserve">and will be </w:t>
      </w:r>
      <w:r>
        <w:rPr>
          <w:rFonts w:ascii="Century Gothic" w:hAnsi="Century Gothic"/>
        </w:rPr>
        <w:t>available</w:t>
      </w:r>
      <w:r w:rsidR="00453A6A">
        <w:rPr>
          <w:rFonts w:ascii="Century Gothic" w:hAnsi="Century Gothic"/>
        </w:rPr>
        <w:t xml:space="preserve"> at the</w:t>
      </w:r>
      <w:r>
        <w:rPr>
          <w:rFonts w:ascii="Century Gothic" w:hAnsi="Century Gothic"/>
        </w:rPr>
        <w:t xml:space="preserve"> end of September. Summative window is February 3</w:t>
      </w:r>
      <w:r w:rsidRPr="008B20BC">
        <w:rPr>
          <w:rFonts w:ascii="Century Gothic" w:hAnsi="Century Gothic"/>
          <w:vertAlign w:val="superscript"/>
        </w:rPr>
        <w:t>rd</w:t>
      </w:r>
      <w:r>
        <w:rPr>
          <w:rFonts w:ascii="Century Gothic" w:hAnsi="Century Gothic"/>
        </w:rPr>
        <w:t xml:space="preserve"> to March 1</w:t>
      </w:r>
      <w:r w:rsidR="005F0507">
        <w:rPr>
          <w:rFonts w:ascii="Century Gothic" w:hAnsi="Century Gothic"/>
        </w:rPr>
        <w:t>3</w:t>
      </w:r>
      <w:r w:rsidR="00453A6A">
        <w:rPr>
          <w:rFonts w:ascii="Century Gothic" w:hAnsi="Century Gothic"/>
          <w:vertAlign w:val="superscript"/>
        </w:rPr>
        <w:t>th</w:t>
      </w:r>
      <w:r>
        <w:rPr>
          <w:rFonts w:ascii="Century Gothic" w:hAnsi="Century Gothic"/>
        </w:rPr>
        <w:t xml:space="preserve">, eliminating paper supplement for youngest students. </w:t>
      </w:r>
      <w:r w:rsidR="00453A6A">
        <w:rPr>
          <w:rFonts w:ascii="Century Gothic" w:hAnsi="Century Gothic"/>
        </w:rPr>
        <w:t>The w</w:t>
      </w:r>
      <w:r w:rsidR="005F0507">
        <w:rPr>
          <w:rFonts w:ascii="Century Gothic" w:hAnsi="Century Gothic"/>
        </w:rPr>
        <w:t>riting test online</w:t>
      </w:r>
      <w:r w:rsidR="00453A6A">
        <w:rPr>
          <w:rFonts w:ascii="Century Gothic" w:hAnsi="Century Gothic"/>
        </w:rPr>
        <w:t xml:space="preserve"> will be</w:t>
      </w:r>
      <w:r w:rsidR="005F0507">
        <w:rPr>
          <w:rFonts w:ascii="Century Gothic" w:hAnsi="Century Gothic"/>
        </w:rPr>
        <w:t xml:space="preserve"> more complete for accurate analysis. </w:t>
      </w:r>
      <w:r w:rsidR="00453A6A">
        <w:rPr>
          <w:rFonts w:ascii="Century Gothic" w:hAnsi="Century Gothic"/>
        </w:rPr>
        <w:t>It is r</w:t>
      </w:r>
      <w:r w:rsidR="005F0507">
        <w:rPr>
          <w:rFonts w:ascii="Century Gothic" w:hAnsi="Century Gothic"/>
        </w:rPr>
        <w:t xml:space="preserve">equired under ESSA to offer alt ELPA 21, for students with significant cognitive disabilities. Terri </w:t>
      </w:r>
      <w:r w:rsidR="00453A6A">
        <w:rPr>
          <w:rFonts w:ascii="Century Gothic" w:hAnsi="Century Gothic"/>
        </w:rPr>
        <w:t xml:space="preserve">went over an </w:t>
      </w:r>
      <w:r w:rsidR="005F0507">
        <w:rPr>
          <w:rFonts w:ascii="Century Gothic" w:hAnsi="Century Gothic"/>
        </w:rPr>
        <w:t>example in</w:t>
      </w:r>
      <w:r w:rsidR="00453A6A">
        <w:rPr>
          <w:rFonts w:ascii="Century Gothic" w:hAnsi="Century Gothic"/>
        </w:rPr>
        <w:t xml:space="preserve"> the</w:t>
      </w:r>
      <w:r w:rsidR="005F0507">
        <w:rPr>
          <w:rFonts w:ascii="Century Gothic" w:hAnsi="Century Gothic"/>
        </w:rPr>
        <w:t xml:space="preserve"> second packet. NDE has signed on with Iowa to develop Alt-ELPA 21.</w:t>
      </w:r>
      <w:r w:rsidR="00453A6A">
        <w:rPr>
          <w:rFonts w:ascii="Century Gothic" w:hAnsi="Century Gothic"/>
        </w:rPr>
        <w:t xml:space="preserve"> It will be</w:t>
      </w:r>
      <w:r w:rsidR="005F0507">
        <w:rPr>
          <w:rFonts w:ascii="Century Gothic" w:hAnsi="Century Gothic"/>
        </w:rPr>
        <w:t xml:space="preserve"> 2-3 years before </w:t>
      </w:r>
      <w:r w:rsidR="00453A6A">
        <w:rPr>
          <w:rFonts w:ascii="Century Gothic" w:hAnsi="Century Gothic"/>
        </w:rPr>
        <w:t xml:space="preserve">the </w:t>
      </w:r>
      <w:r w:rsidR="005F0507">
        <w:rPr>
          <w:rFonts w:ascii="Century Gothic" w:hAnsi="Century Gothic"/>
        </w:rPr>
        <w:t xml:space="preserve">assessment is available. </w:t>
      </w:r>
    </w:p>
    <w:p w14:paraId="5869D932" w14:textId="22207ADA" w:rsidR="00DB1180" w:rsidRPr="00AB52EE" w:rsidRDefault="00DB1180" w:rsidP="00DB1180">
      <w:pPr>
        <w:rPr>
          <w:rFonts w:ascii="Century Gothic" w:hAnsi="Century Gothic"/>
          <w:b/>
        </w:rPr>
      </w:pPr>
      <w:r w:rsidRPr="00B65D7E">
        <w:rPr>
          <w:rFonts w:ascii="Century Gothic" w:hAnsi="Century Gothic"/>
          <w:b/>
        </w:rPr>
        <w:t xml:space="preserve">Title IV-A Formula Grant – </w:t>
      </w:r>
      <w:r w:rsidRPr="00B65D7E">
        <w:rPr>
          <w:rFonts w:ascii="Century Gothic" w:hAnsi="Century Gothic"/>
        </w:rPr>
        <w:t xml:space="preserve">Kirk Russell shared that the State Education </w:t>
      </w:r>
      <w:proofErr w:type="spellStart"/>
      <w:r w:rsidRPr="00B65D7E">
        <w:rPr>
          <w:rFonts w:ascii="Century Gothic" w:hAnsi="Century Gothic"/>
        </w:rPr>
        <w:t>Agency’s</w:t>
      </w:r>
      <w:proofErr w:type="spellEnd"/>
      <w:r w:rsidRPr="00B65D7E">
        <w:rPr>
          <w:rFonts w:ascii="Century Gothic" w:hAnsi="Century Gothic"/>
        </w:rPr>
        <w:t xml:space="preserve"> have access to a Title IV-A State Coordinator Portal web-page.</w:t>
      </w:r>
      <w:r>
        <w:rPr>
          <w:rFonts w:ascii="Century Gothic" w:hAnsi="Century Gothic"/>
        </w:rPr>
        <w:t xml:space="preserve">  Questions, discussions and resources can be posted for other state education coordinators to use and benefit from.  Also, d</w:t>
      </w:r>
      <w:r w:rsidRPr="00164EE4">
        <w:rPr>
          <w:rFonts w:ascii="Century Gothic" w:hAnsi="Century Gothic"/>
        </w:rPr>
        <w:t xml:space="preserve">emonstrated </w:t>
      </w:r>
      <w:r>
        <w:rPr>
          <w:rFonts w:ascii="Century Gothic" w:hAnsi="Century Gothic"/>
        </w:rPr>
        <w:t xml:space="preserve">on the NDE Federal Programs website under Title IV-A page is </w:t>
      </w:r>
      <w:r w:rsidRPr="00164EE4">
        <w:rPr>
          <w:rFonts w:ascii="Century Gothic" w:hAnsi="Century Gothic"/>
        </w:rPr>
        <w:t xml:space="preserve">Title IV-A LEA Needs Assessment Tool developed </w:t>
      </w:r>
      <w:r>
        <w:rPr>
          <w:rFonts w:ascii="Century Gothic" w:hAnsi="Century Gothic"/>
        </w:rPr>
        <w:t>by T4</w:t>
      </w:r>
      <w:r w:rsidRPr="00164EE4">
        <w:rPr>
          <w:rFonts w:ascii="Century Gothic" w:hAnsi="Century Gothic"/>
        </w:rPr>
        <w:t xml:space="preserve">PA Technical Assistance Center.  </w:t>
      </w:r>
      <w:r>
        <w:rPr>
          <w:rFonts w:ascii="Century Gothic" w:hAnsi="Century Gothic"/>
        </w:rPr>
        <w:t xml:space="preserve">The </w:t>
      </w:r>
      <w:r w:rsidRPr="00164EE4">
        <w:rPr>
          <w:rFonts w:ascii="Century Gothic" w:hAnsi="Century Gothic"/>
        </w:rPr>
        <w:t>Needs Assessment Link</w:t>
      </w:r>
      <w:r>
        <w:rPr>
          <w:rFonts w:ascii="Century Gothic" w:hAnsi="Century Gothic"/>
        </w:rPr>
        <w:t xml:space="preserve"> can be found at</w:t>
      </w:r>
      <w:r w:rsidRPr="00164EE4">
        <w:rPr>
          <w:rFonts w:ascii="Century Gothic" w:hAnsi="Century Gothic"/>
        </w:rPr>
        <w:t>:</w:t>
      </w:r>
    </w:p>
    <w:p w14:paraId="6FBE2F53" w14:textId="77777777" w:rsidR="00DB1180" w:rsidRDefault="002D557C" w:rsidP="00DB1180">
      <w:pPr>
        <w:rPr>
          <w:rFonts w:ascii="Century Gothic" w:hAnsi="Century Gothic"/>
        </w:rPr>
      </w:pPr>
      <w:hyperlink r:id="rId5" w:history="1">
        <w:r w:rsidR="00DB1180" w:rsidRPr="00240CFC">
          <w:rPr>
            <w:rStyle w:val="Hyperlink"/>
            <w:rFonts w:ascii="Century Gothic" w:hAnsi="Century Gothic"/>
          </w:rPr>
          <w:t>https://cdn.education.ne.gov/wp-content/uploads/2019/06/Title-IV-A-LEA-Needs-Assessment-Tool-06.18.2019.xlsx</w:t>
        </w:r>
      </w:hyperlink>
    </w:p>
    <w:p w14:paraId="079F59EF" w14:textId="1C668E53" w:rsidR="0007332D" w:rsidRDefault="0007332D" w:rsidP="00164EE4">
      <w:pPr>
        <w:rPr>
          <w:rFonts w:ascii="Century Gothic" w:hAnsi="Century Gothic"/>
        </w:rPr>
      </w:pPr>
      <w:r w:rsidRPr="00A51F85">
        <w:rPr>
          <w:rFonts w:ascii="Century Gothic" w:hAnsi="Century Gothic"/>
          <w:b/>
        </w:rPr>
        <w:t>Title IV-B</w:t>
      </w:r>
      <w:r>
        <w:rPr>
          <w:rFonts w:ascii="Century Gothic" w:hAnsi="Century Gothic"/>
        </w:rPr>
        <w:t xml:space="preserve">: </w:t>
      </w:r>
      <w:r w:rsidRPr="00A51F85">
        <w:rPr>
          <w:rFonts w:ascii="Century Gothic" w:hAnsi="Century Gothic"/>
          <w:b/>
        </w:rPr>
        <w:t>21</w:t>
      </w:r>
      <w:r w:rsidRPr="00A51F85">
        <w:rPr>
          <w:rFonts w:ascii="Century Gothic" w:hAnsi="Century Gothic"/>
          <w:b/>
          <w:vertAlign w:val="superscript"/>
        </w:rPr>
        <w:t>st</w:t>
      </w:r>
      <w:r w:rsidRPr="00A51F85">
        <w:rPr>
          <w:rFonts w:ascii="Century Gothic" w:hAnsi="Century Gothic"/>
          <w:b/>
        </w:rPr>
        <w:t xml:space="preserve"> CCLC</w:t>
      </w:r>
      <w:r>
        <w:rPr>
          <w:rFonts w:ascii="Century Gothic" w:hAnsi="Century Gothic"/>
        </w:rPr>
        <w:t xml:space="preserve">: </w:t>
      </w:r>
      <w:r w:rsidR="00423696">
        <w:rPr>
          <w:rFonts w:ascii="Century Gothic" w:hAnsi="Century Gothic"/>
        </w:rPr>
        <w:t xml:space="preserve">The </w:t>
      </w:r>
      <w:r>
        <w:rPr>
          <w:rFonts w:ascii="Century Gothic" w:hAnsi="Century Gothic"/>
        </w:rPr>
        <w:t xml:space="preserve">17-18 final report is now posted on </w:t>
      </w:r>
      <w:r w:rsidR="00423696">
        <w:rPr>
          <w:rFonts w:ascii="Century Gothic" w:hAnsi="Century Gothic"/>
        </w:rPr>
        <w:t xml:space="preserve">our </w:t>
      </w:r>
      <w:r>
        <w:rPr>
          <w:rFonts w:ascii="Century Gothic" w:hAnsi="Century Gothic"/>
        </w:rPr>
        <w:t xml:space="preserve">website. </w:t>
      </w:r>
      <w:r w:rsidR="00917F54">
        <w:rPr>
          <w:rFonts w:ascii="Century Gothic" w:hAnsi="Century Gothic"/>
        </w:rPr>
        <w:t xml:space="preserve">There are </w:t>
      </w:r>
      <w:r>
        <w:rPr>
          <w:rFonts w:ascii="Century Gothic" w:hAnsi="Century Gothic"/>
        </w:rPr>
        <w:t xml:space="preserve">10 new sites around </w:t>
      </w:r>
      <w:r w:rsidR="00423696">
        <w:rPr>
          <w:rFonts w:ascii="Century Gothic" w:hAnsi="Century Gothic"/>
        </w:rPr>
        <w:t xml:space="preserve">the </w:t>
      </w:r>
      <w:r>
        <w:rPr>
          <w:rFonts w:ascii="Century Gothic" w:hAnsi="Century Gothic"/>
        </w:rPr>
        <w:t xml:space="preserve">state. </w:t>
      </w:r>
      <w:r w:rsidR="00423696">
        <w:rPr>
          <w:rFonts w:ascii="Century Gothic" w:hAnsi="Century Gothic"/>
        </w:rPr>
        <w:t xml:space="preserve">There are now </w:t>
      </w:r>
      <w:r>
        <w:rPr>
          <w:rFonts w:ascii="Century Gothic" w:hAnsi="Century Gothic"/>
        </w:rPr>
        <w:t xml:space="preserve">5 year grants, </w:t>
      </w:r>
      <w:r w:rsidR="00423696">
        <w:rPr>
          <w:rFonts w:ascii="Century Gothic" w:hAnsi="Century Gothic"/>
        </w:rPr>
        <w:t xml:space="preserve">and groups are </w:t>
      </w:r>
      <w:r>
        <w:rPr>
          <w:rFonts w:ascii="Century Gothic" w:hAnsi="Century Gothic"/>
        </w:rPr>
        <w:t xml:space="preserve">eligible to apply for continuation grant at end of 5 years. </w:t>
      </w:r>
      <w:r w:rsidR="00917F54">
        <w:rPr>
          <w:rFonts w:ascii="Century Gothic" w:hAnsi="Century Gothic"/>
        </w:rPr>
        <w:t>We are g</w:t>
      </w:r>
      <w:r>
        <w:rPr>
          <w:rFonts w:ascii="Century Gothic" w:hAnsi="Century Gothic"/>
        </w:rPr>
        <w:t xml:space="preserve">rowing to 148 sites by </w:t>
      </w:r>
      <w:r w:rsidR="00917F54">
        <w:rPr>
          <w:rFonts w:ascii="Century Gothic" w:hAnsi="Century Gothic"/>
        </w:rPr>
        <w:t xml:space="preserve">the </w:t>
      </w:r>
      <w:r>
        <w:rPr>
          <w:rFonts w:ascii="Century Gothic" w:hAnsi="Century Gothic"/>
        </w:rPr>
        <w:t xml:space="preserve">end of </w:t>
      </w:r>
      <w:r w:rsidR="00917F54">
        <w:rPr>
          <w:rFonts w:ascii="Century Gothic" w:hAnsi="Century Gothic"/>
        </w:rPr>
        <w:t xml:space="preserve">the </w:t>
      </w:r>
      <w:r>
        <w:rPr>
          <w:rFonts w:ascii="Century Gothic" w:hAnsi="Century Gothic"/>
        </w:rPr>
        <w:t xml:space="preserve">year. </w:t>
      </w:r>
      <w:r w:rsidR="00917F54">
        <w:rPr>
          <w:rFonts w:ascii="Century Gothic" w:hAnsi="Century Gothic"/>
        </w:rPr>
        <w:t xml:space="preserve">We have </w:t>
      </w:r>
      <w:r w:rsidR="00B928C9">
        <w:rPr>
          <w:rFonts w:ascii="Century Gothic" w:hAnsi="Century Gothic"/>
        </w:rPr>
        <w:t xml:space="preserve">9 sites participating in </w:t>
      </w:r>
      <w:r w:rsidR="00917F54">
        <w:rPr>
          <w:rFonts w:ascii="Century Gothic" w:hAnsi="Century Gothic"/>
        </w:rPr>
        <w:t xml:space="preserve">a </w:t>
      </w:r>
      <w:r w:rsidR="00B928C9">
        <w:rPr>
          <w:rFonts w:ascii="Century Gothic" w:hAnsi="Century Gothic"/>
        </w:rPr>
        <w:t xml:space="preserve">NASA engineering design challenge. </w:t>
      </w:r>
    </w:p>
    <w:p w14:paraId="467B1802" w14:textId="5A87C4EF" w:rsidR="00B928C9" w:rsidRDefault="00917F54">
      <w:pPr>
        <w:rPr>
          <w:rFonts w:ascii="Century Gothic" w:hAnsi="Century Gothic"/>
        </w:rPr>
      </w:pPr>
      <w:r>
        <w:rPr>
          <w:rFonts w:ascii="Century Gothic" w:hAnsi="Century Gothic"/>
        </w:rPr>
        <w:t>Our s</w:t>
      </w:r>
      <w:r w:rsidR="00B928C9">
        <w:rPr>
          <w:rFonts w:ascii="Century Gothic" w:hAnsi="Century Gothic"/>
        </w:rPr>
        <w:t>tate funded expan</w:t>
      </w:r>
      <w:r>
        <w:rPr>
          <w:rFonts w:ascii="Century Gothic" w:hAnsi="Century Gothic"/>
        </w:rPr>
        <w:t>ded learning opportunity grants are</w:t>
      </w:r>
      <w:r w:rsidR="00B928C9">
        <w:rPr>
          <w:rFonts w:ascii="Century Gothic" w:hAnsi="Century Gothic"/>
        </w:rPr>
        <w:t xml:space="preserve"> 2 year grants for supplemental clubs. 48 sites </w:t>
      </w:r>
      <w:r>
        <w:rPr>
          <w:rFonts w:ascii="Century Gothic" w:hAnsi="Century Gothic"/>
        </w:rPr>
        <w:t>have received funding and were a</w:t>
      </w:r>
      <w:r w:rsidR="00B928C9">
        <w:rPr>
          <w:rFonts w:ascii="Century Gothic" w:hAnsi="Century Gothic"/>
        </w:rPr>
        <w:t xml:space="preserve">warded $300,000 total. </w:t>
      </w:r>
    </w:p>
    <w:p w14:paraId="47268895" w14:textId="77777777" w:rsidR="00DB1180" w:rsidRPr="00164EE4" w:rsidRDefault="00DB1180" w:rsidP="00DB1180">
      <w:pPr>
        <w:rPr>
          <w:rFonts w:ascii="Century Gothic" w:hAnsi="Century Gothic"/>
        </w:rPr>
      </w:pPr>
      <w:r w:rsidRPr="00A51F85">
        <w:rPr>
          <w:rFonts w:ascii="Century Gothic" w:hAnsi="Century Gothic"/>
          <w:b/>
        </w:rPr>
        <w:t>Title VI</w:t>
      </w:r>
      <w:r>
        <w:rPr>
          <w:rFonts w:ascii="Century Gothic" w:hAnsi="Century Gothic"/>
          <w:b/>
        </w:rPr>
        <w:t xml:space="preserve"> REAP</w:t>
      </w:r>
      <w:r>
        <w:rPr>
          <w:rFonts w:ascii="Century Gothic" w:hAnsi="Century Gothic"/>
        </w:rPr>
        <w:t xml:space="preserve">: Kirk Russell shared that in August to September schools will be </w:t>
      </w:r>
      <w:r w:rsidRPr="00164EE4">
        <w:rPr>
          <w:rFonts w:ascii="Century Gothic" w:hAnsi="Century Gothic"/>
        </w:rPr>
        <w:t xml:space="preserve">notified directly from </w:t>
      </w:r>
      <w:r>
        <w:rPr>
          <w:rFonts w:ascii="Century Gothic" w:hAnsi="Century Gothic"/>
        </w:rPr>
        <w:t xml:space="preserve">US Dept. of Education </w:t>
      </w:r>
      <w:r w:rsidRPr="00164EE4">
        <w:rPr>
          <w:rFonts w:ascii="Century Gothic" w:hAnsi="Century Gothic"/>
        </w:rPr>
        <w:t>of their Grant Award Notifications.</w:t>
      </w:r>
    </w:p>
    <w:p w14:paraId="2C529838" w14:textId="77777777" w:rsidR="00DB1180" w:rsidRDefault="00DB1180" w:rsidP="00DB1180">
      <w:pPr>
        <w:rPr>
          <w:rFonts w:ascii="Century Gothic" w:hAnsi="Century Gothic"/>
        </w:rPr>
      </w:pPr>
      <w:r>
        <w:rPr>
          <w:rFonts w:ascii="Century Gothic" w:hAnsi="Century Gothic"/>
        </w:rPr>
        <w:t xml:space="preserve">Also reported that the </w:t>
      </w:r>
      <w:r w:rsidRPr="00164EE4">
        <w:rPr>
          <w:rFonts w:ascii="Century Gothic" w:hAnsi="Century Gothic"/>
        </w:rPr>
        <w:t>RLIS –Rura</w:t>
      </w:r>
      <w:r>
        <w:rPr>
          <w:rFonts w:ascii="Century Gothic" w:hAnsi="Century Gothic"/>
        </w:rPr>
        <w:t>l Low Income School Program has not released</w:t>
      </w:r>
      <w:r w:rsidRPr="00164EE4">
        <w:rPr>
          <w:rFonts w:ascii="Century Gothic" w:hAnsi="Century Gothic"/>
        </w:rPr>
        <w:t xml:space="preserve"> allocat</w:t>
      </w:r>
      <w:r>
        <w:rPr>
          <w:rFonts w:ascii="Century Gothic" w:hAnsi="Century Gothic"/>
        </w:rPr>
        <w:t>ion amount</w:t>
      </w:r>
      <w:r w:rsidRPr="00164EE4">
        <w:rPr>
          <w:rFonts w:ascii="Century Gothic" w:hAnsi="Century Gothic"/>
        </w:rPr>
        <w:t xml:space="preserve"> for 2019-2020.</w:t>
      </w:r>
    </w:p>
    <w:p w14:paraId="43ACCD50" w14:textId="77777777" w:rsidR="00DB1180" w:rsidRDefault="00DB1180" w:rsidP="00DB1180">
      <w:pPr>
        <w:rPr>
          <w:rFonts w:ascii="Century Gothic" w:hAnsi="Century Gothic"/>
        </w:rPr>
      </w:pPr>
      <w:r w:rsidRPr="00A51F85">
        <w:rPr>
          <w:rFonts w:ascii="Century Gothic" w:hAnsi="Century Gothic"/>
          <w:b/>
        </w:rPr>
        <w:t>Title VII-B</w:t>
      </w:r>
      <w:r>
        <w:rPr>
          <w:rFonts w:ascii="Century Gothic" w:hAnsi="Century Gothic"/>
          <w:b/>
        </w:rPr>
        <w:t xml:space="preserve"> </w:t>
      </w:r>
      <w:proofErr w:type="spellStart"/>
      <w:r>
        <w:rPr>
          <w:rFonts w:ascii="Century Gothic" w:hAnsi="Century Gothic"/>
          <w:b/>
        </w:rPr>
        <w:t>Mckinney</w:t>
      </w:r>
      <w:proofErr w:type="spellEnd"/>
      <w:r>
        <w:rPr>
          <w:rFonts w:ascii="Century Gothic" w:hAnsi="Century Gothic"/>
          <w:b/>
        </w:rPr>
        <w:t>-Vento</w:t>
      </w:r>
      <w:r>
        <w:rPr>
          <w:rFonts w:ascii="Century Gothic" w:hAnsi="Century Gothic"/>
        </w:rPr>
        <w:t xml:space="preserve">: Kirk Russell share that the Liaison training modules that have been created and can be accessed through NDE Moodle site https://moodle.education.ne.gov has currently certified 134 school administrators. Also shared through NDE Adviser webpage that the homeless kids count stands at 4554, an increase of 611 over last year’s count. The </w:t>
      </w:r>
      <w:r w:rsidRPr="00164EE4">
        <w:rPr>
          <w:rFonts w:ascii="Century Gothic" w:hAnsi="Century Gothic"/>
        </w:rPr>
        <w:t>National Association for the Education of Homeless Children and Youth will be holding their national convention this fall in Washington D.C. on November 2</w:t>
      </w:r>
      <w:r>
        <w:rPr>
          <w:rFonts w:ascii="Century Gothic" w:hAnsi="Century Gothic"/>
        </w:rPr>
        <w:t>.</w:t>
      </w:r>
      <w:r w:rsidRPr="00164EE4">
        <w:rPr>
          <w:rFonts w:ascii="Century Gothic" w:hAnsi="Century Gothic"/>
        </w:rPr>
        <w:t xml:space="preserve"> Pre-Session November 3 – 5.  Lexington Community and Lexington Public school were accepted to present.  Kristi O’Meara and a community partner will be the presenters.</w:t>
      </w:r>
      <w:r w:rsidRPr="00164EE4">
        <w:t xml:space="preserve"> </w:t>
      </w:r>
      <w:r w:rsidRPr="00164EE4">
        <w:rPr>
          <w:rFonts w:ascii="Century Gothic" w:hAnsi="Century Gothic"/>
        </w:rPr>
        <w:t>The number of Unaccompanied homeless</w:t>
      </w:r>
      <w:r>
        <w:rPr>
          <w:rFonts w:ascii="Century Gothic" w:hAnsi="Century Gothic"/>
        </w:rPr>
        <w:t xml:space="preserve"> count</w:t>
      </w:r>
      <w:r w:rsidRPr="00164EE4">
        <w:rPr>
          <w:rFonts w:ascii="Century Gothic" w:hAnsi="Century Gothic"/>
        </w:rPr>
        <w:t xml:space="preserve"> is not being correctly reported to ADVISER, there is an error when school district student information system’s report to ADVISER</w:t>
      </w:r>
      <w:r>
        <w:rPr>
          <w:rFonts w:ascii="Century Gothic" w:hAnsi="Century Gothic"/>
        </w:rPr>
        <w:t>.</w:t>
      </w:r>
    </w:p>
    <w:p w14:paraId="7CF728DE" w14:textId="50066103" w:rsidR="006709DA" w:rsidRDefault="006709DA" w:rsidP="006709DA">
      <w:pPr>
        <w:rPr>
          <w:rFonts w:ascii="Century Gothic" w:hAnsi="Century Gothic"/>
        </w:rPr>
      </w:pPr>
      <w:r w:rsidRPr="00A51F85">
        <w:rPr>
          <w:rFonts w:ascii="Century Gothic" w:hAnsi="Century Gothic"/>
          <w:b/>
        </w:rPr>
        <w:t>Head Start Performance Standards</w:t>
      </w:r>
      <w:r>
        <w:rPr>
          <w:rFonts w:ascii="Century Gothic" w:hAnsi="Century Gothic"/>
        </w:rPr>
        <w:t xml:space="preserve">: Joan Luebbers shared the Head Start Service Area map. </w:t>
      </w:r>
      <w:hyperlink r:id="rId6" w:history="1">
        <w:r w:rsidR="00DB1180" w:rsidRPr="00DB1180">
          <w:rPr>
            <w:rStyle w:val="Hyperlink"/>
            <w:rFonts w:ascii="Century Gothic" w:hAnsi="Century Gothic"/>
          </w:rPr>
          <w:t>Link to map</w:t>
        </w:r>
      </w:hyperlink>
      <w:r w:rsidR="00DB1180">
        <w:rPr>
          <w:rFonts w:ascii="Century Gothic" w:hAnsi="Century Gothic"/>
        </w:rPr>
        <w:t>.</w:t>
      </w:r>
      <w:r>
        <w:rPr>
          <w:rFonts w:ascii="Century Gothic" w:hAnsi="Century Gothic"/>
        </w:rPr>
        <w:t xml:space="preserve"> She also shared that Beth Wooster sent out information to Districts about the coordination requirement for LEAs receiving Title I funds and Head Starts. These agreements need to be in place by </w:t>
      </w:r>
      <w:proofErr w:type="gramStart"/>
      <w:r>
        <w:rPr>
          <w:rFonts w:ascii="Century Gothic" w:hAnsi="Century Gothic"/>
        </w:rPr>
        <w:t>Spring</w:t>
      </w:r>
      <w:proofErr w:type="gramEnd"/>
      <w:r>
        <w:rPr>
          <w:rFonts w:ascii="Century Gothic" w:hAnsi="Century Gothic"/>
        </w:rPr>
        <w:t xml:space="preserve"> of 2020, and will be part of the monitoring process starting the 2019-20 school year. </w:t>
      </w:r>
    </w:p>
    <w:p w14:paraId="3673E86D" w14:textId="77777777" w:rsidR="006709DA" w:rsidRDefault="006709DA" w:rsidP="006709DA">
      <w:pPr>
        <w:rPr>
          <w:rFonts w:ascii="Century Gothic" w:hAnsi="Century Gothic"/>
        </w:rPr>
      </w:pPr>
      <w:r>
        <w:rPr>
          <w:rFonts w:ascii="Century Gothic" w:hAnsi="Century Gothic"/>
        </w:rPr>
        <w:t>Diane discusses Administrator Days – the NDE day will be on Wednesday, July 31</w:t>
      </w:r>
      <w:r w:rsidRPr="00C0442F">
        <w:rPr>
          <w:rFonts w:ascii="Century Gothic" w:hAnsi="Century Gothic"/>
          <w:vertAlign w:val="superscript"/>
        </w:rPr>
        <w:t>st</w:t>
      </w:r>
      <w:r>
        <w:rPr>
          <w:rFonts w:ascii="Century Gothic" w:hAnsi="Century Gothic"/>
        </w:rPr>
        <w:t xml:space="preserve">, 2019. Many of the topics covered today will presented in greater detail. </w:t>
      </w:r>
    </w:p>
    <w:p w14:paraId="17A87172" w14:textId="77777777" w:rsidR="006709DA" w:rsidRDefault="006709DA" w:rsidP="006709DA">
      <w:pPr>
        <w:rPr>
          <w:rFonts w:ascii="Century Gothic" w:hAnsi="Century Gothic"/>
        </w:rPr>
      </w:pPr>
      <w:r>
        <w:rPr>
          <w:rFonts w:ascii="Century Gothic" w:hAnsi="Century Gothic"/>
        </w:rPr>
        <w:t>Beth discusses Hispanic Latino Summit. NDE is partnering with the Columbus Chamber of Commerce and the Latino Commission as done last year. The Summit will be in Columbus, NE on Monday, October 21</w:t>
      </w:r>
      <w:r w:rsidRPr="00B77722">
        <w:rPr>
          <w:rFonts w:ascii="Century Gothic" w:hAnsi="Century Gothic"/>
          <w:vertAlign w:val="superscript"/>
        </w:rPr>
        <w:t>st</w:t>
      </w:r>
      <w:r>
        <w:rPr>
          <w:rFonts w:ascii="Century Gothic" w:hAnsi="Century Gothic"/>
        </w:rPr>
        <w:t xml:space="preserve">. </w:t>
      </w:r>
    </w:p>
    <w:p w14:paraId="3414DFB5" w14:textId="77777777" w:rsidR="006709DA" w:rsidRDefault="006709DA" w:rsidP="006709DA">
      <w:pPr>
        <w:spacing w:after="0"/>
        <w:contextualSpacing/>
        <w:rPr>
          <w:rFonts w:ascii="Century Gothic" w:hAnsi="Century Gothic"/>
          <w:b/>
        </w:rPr>
      </w:pPr>
      <w:r>
        <w:rPr>
          <w:rFonts w:ascii="Century Gothic" w:hAnsi="Century Gothic"/>
          <w:b/>
        </w:rPr>
        <w:t xml:space="preserve">Next Meetings: </w:t>
      </w:r>
    </w:p>
    <w:p w14:paraId="1FD6EC90" w14:textId="77777777" w:rsidR="006709DA" w:rsidRDefault="006709DA" w:rsidP="006709DA">
      <w:pPr>
        <w:spacing w:after="0"/>
        <w:contextualSpacing/>
        <w:rPr>
          <w:rFonts w:ascii="Century Gothic" w:hAnsi="Century Gothic"/>
        </w:rPr>
      </w:pPr>
      <w:r>
        <w:rPr>
          <w:rFonts w:ascii="Century Gothic" w:hAnsi="Century Gothic"/>
        </w:rPr>
        <w:t xml:space="preserve">Tuesday, October 22, 2019 at ESU #9 in Hastings  </w:t>
      </w:r>
    </w:p>
    <w:p w14:paraId="133E0092" w14:textId="77777777" w:rsidR="006709DA" w:rsidRPr="001F379D" w:rsidRDefault="006709DA" w:rsidP="006709DA">
      <w:pPr>
        <w:spacing w:after="0"/>
        <w:contextualSpacing/>
        <w:rPr>
          <w:rFonts w:ascii="Century Gothic" w:hAnsi="Century Gothic"/>
        </w:rPr>
      </w:pPr>
      <w:r>
        <w:rPr>
          <w:rFonts w:ascii="Century Gothic" w:hAnsi="Century Gothic"/>
        </w:rPr>
        <w:t xml:space="preserve">Tuesday, March 24, 2020 at Tom </w:t>
      </w:r>
      <w:proofErr w:type="spellStart"/>
      <w:r>
        <w:rPr>
          <w:rFonts w:ascii="Century Gothic" w:hAnsi="Century Gothic"/>
        </w:rPr>
        <w:t>Dinsdale</w:t>
      </w:r>
      <w:proofErr w:type="spellEnd"/>
      <w:r>
        <w:rPr>
          <w:rFonts w:ascii="Century Gothic" w:hAnsi="Century Gothic"/>
        </w:rPr>
        <w:t xml:space="preserve"> Chevrolet in Grand Island.</w:t>
      </w:r>
    </w:p>
    <w:p w14:paraId="0C9C63A6" w14:textId="20CEBEA1" w:rsidR="001F379D" w:rsidRPr="001F379D" w:rsidRDefault="001F379D" w:rsidP="006709DA">
      <w:pPr>
        <w:rPr>
          <w:rFonts w:ascii="Century Gothic" w:hAnsi="Century Gothic"/>
        </w:rPr>
      </w:pPr>
    </w:p>
    <w:sectPr w:rsidR="001F379D" w:rsidRPr="001F3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D9"/>
    <w:rsid w:val="000534D1"/>
    <w:rsid w:val="0007332D"/>
    <w:rsid w:val="00120B8A"/>
    <w:rsid w:val="00164EE4"/>
    <w:rsid w:val="00176A7C"/>
    <w:rsid w:val="001910E9"/>
    <w:rsid w:val="001F29EE"/>
    <w:rsid w:val="001F379D"/>
    <w:rsid w:val="0020220E"/>
    <w:rsid w:val="00202489"/>
    <w:rsid w:val="002D557C"/>
    <w:rsid w:val="00345700"/>
    <w:rsid w:val="003C3FBF"/>
    <w:rsid w:val="003F1226"/>
    <w:rsid w:val="00416E22"/>
    <w:rsid w:val="004206AD"/>
    <w:rsid w:val="00423696"/>
    <w:rsid w:val="00453A2B"/>
    <w:rsid w:val="00453A6A"/>
    <w:rsid w:val="00492982"/>
    <w:rsid w:val="00541BF2"/>
    <w:rsid w:val="005508D8"/>
    <w:rsid w:val="00584468"/>
    <w:rsid w:val="005D265D"/>
    <w:rsid w:val="005E117E"/>
    <w:rsid w:val="005F0507"/>
    <w:rsid w:val="006417A2"/>
    <w:rsid w:val="00653FC2"/>
    <w:rsid w:val="006709DA"/>
    <w:rsid w:val="00695E9F"/>
    <w:rsid w:val="006C0BB4"/>
    <w:rsid w:val="006C15A4"/>
    <w:rsid w:val="006C196E"/>
    <w:rsid w:val="00752074"/>
    <w:rsid w:val="007D18AB"/>
    <w:rsid w:val="008321D9"/>
    <w:rsid w:val="00844867"/>
    <w:rsid w:val="00863B78"/>
    <w:rsid w:val="008A14FA"/>
    <w:rsid w:val="008B20BC"/>
    <w:rsid w:val="00917F54"/>
    <w:rsid w:val="0097106A"/>
    <w:rsid w:val="009D24FB"/>
    <w:rsid w:val="00A51F85"/>
    <w:rsid w:val="00A5680B"/>
    <w:rsid w:val="00AE07B2"/>
    <w:rsid w:val="00B165CF"/>
    <w:rsid w:val="00B928C9"/>
    <w:rsid w:val="00BA07E6"/>
    <w:rsid w:val="00BD6BFB"/>
    <w:rsid w:val="00C0442F"/>
    <w:rsid w:val="00C50F8C"/>
    <w:rsid w:val="00CB5313"/>
    <w:rsid w:val="00DB1180"/>
    <w:rsid w:val="00DC1C48"/>
    <w:rsid w:val="00DF3DAC"/>
    <w:rsid w:val="00E465C2"/>
    <w:rsid w:val="00F2186D"/>
    <w:rsid w:val="00F96003"/>
    <w:rsid w:val="00FB6B41"/>
    <w:rsid w:val="00FE15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766"/>
  <w15:chartTrackingRefBased/>
  <w15:docId w15:val="{9622FD82-A3B0-4DEC-80D1-C41EA1F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dn.education.ne.gov/wp-content/uploads/2019/01/head-start-contacts-map.pdf" TargetMode="External"/><Relationship Id="rId5" Type="http://schemas.openxmlformats.org/officeDocument/2006/relationships/hyperlink" Target="https://cdn.education.ne.gov/wp-content/uploads/2019/06/Title-IV-A-LEA-Needs-Assessment-Tool-06.18.2019.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F3BA-EABA-4A01-9955-336CBA1D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1BF0AD56</Template>
  <TotalTime>1</TotalTime>
  <Pages>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Clark</dc:creator>
  <cp:keywords/>
  <dc:description/>
  <cp:lastModifiedBy>Clark, Jacob</cp:lastModifiedBy>
  <cp:revision>3</cp:revision>
  <dcterms:created xsi:type="dcterms:W3CDTF">2019-07-02T20:28:00Z</dcterms:created>
  <dcterms:modified xsi:type="dcterms:W3CDTF">2019-11-05T13:55:00Z</dcterms:modified>
</cp:coreProperties>
</file>