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5F" w:rsidRDefault="00EC35AE" w:rsidP="00EC35AE">
      <w:pPr>
        <w:spacing w:before="42"/>
        <w:jc w:val="right"/>
      </w:pPr>
      <w:r>
        <w:t>Revised</w:t>
      </w:r>
      <w:bookmarkStart w:id="0" w:name="_GoBack"/>
      <w:bookmarkEnd w:id="0"/>
      <w:r>
        <w:t xml:space="preserve"> </w:t>
      </w:r>
      <w:r>
        <w:t xml:space="preserve">May </w:t>
      </w:r>
      <w:r>
        <w:t>2009</w:t>
      </w:r>
    </w:p>
    <w:p w:rsidR="009E235F" w:rsidRDefault="009E235F">
      <w:pPr>
        <w:pStyle w:val="BodyText"/>
        <w:rPr>
          <w:sz w:val="20"/>
        </w:rPr>
      </w:pPr>
    </w:p>
    <w:p w:rsidR="009E235F" w:rsidRDefault="00EC35AE">
      <w:pPr>
        <w:pStyle w:val="BodyText"/>
        <w:rPr>
          <w:sz w:val="17"/>
        </w:rPr>
      </w:pPr>
      <w:r>
        <w:rPr>
          <w:noProof/>
        </w:rPr>
        <w:drawing>
          <wp:anchor distT="0" distB="0" distL="0" distR="0" simplePos="0" relativeHeight="268434431" behindDoc="1" locked="0" layoutInCell="1" allowOverlap="1">
            <wp:simplePos x="0" y="0"/>
            <wp:positionH relativeFrom="page">
              <wp:posOffset>933450</wp:posOffset>
            </wp:positionH>
            <wp:positionV relativeFrom="paragraph">
              <wp:posOffset>149251</wp:posOffset>
            </wp:positionV>
            <wp:extent cx="6173782" cy="5059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73782" cy="505968"/>
                    </a:xfrm>
                    <a:prstGeom prst="rect">
                      <a:avLst/>
                    </a:prstGeom>
                  </pic:spPr>
                </pic:pic>
              </a:graphicData>
            </a:graphic>
          </wp:anchor>
        </w:drawing>
      </w:r>
    </w:p>
    <w:p w:rsidR="009E235F" w:rsidRDefault="009E235F">
      <w:pPr>
        <w:pStyle w:val="BodyText"/>
        <w:rPr>
          <w:sz w:val="22"/>
        </w:rPr>
      </w:pPr>
    </w:p>
    <w:p w:rsidR="009E235F" w:rsidRDefault="009E235F">
      <w:pPr>
        <w:pStyle w:val="BodyText"/>
        <w:rPr>
          <w:sz w:val="22"/>
        </w:rPr>
      </w:pPr>
    </w:p>
    <w:p w:rsidR="009E235F" w:rsidRDefault="009E235F">
      <w:pPr>
        <w:pStyle w:val="BodyText"/>
        <w:rPr>
          <w:sz w:val="22"/>
        </w:rPr>
      </w:pPr>
    </w:p>
    <w:p w:rsidR="009E235F" w:rsidRDefault="00EC35AE">
      <w:pPr>
        <w:pStyle w:val="Heading1"/>
        <w:tabs>
          <w:tab w:val="left" w:pos="2980"/>
        </w:tabs>
        <w:spacing w:before="144"/>
      </w:pPr>
      <w:r>
        <w:t>NDE</w:t>
      </w:r>
      <w:r>
        <w:rPr>
          <w:spacing w:val="-1"/>
        </w:rPr>
        <w:t xml:space="preserve"> </w:t>
      </w:r>
      <w:r>
        <w:t>Guidelines:</w:t>
      </w:r>
      <w:r>
        <w:tab/>
        <w:t>School District Reporting for Purpose of</w:t>
      </w:r>
      <w:r>
        <w:rPr>
          <w:spacing w:val="-5"/>
        </w:rPr>
        <w:t xml:space="preserve"> </w:t>
      </w:r>
      <w:r>
        <w:t>Special</w:t>
      </w:r>
    </w:p>
    <w:p w:rsidR="009E235F" w:rsidRDefault="00EC35AE">
      <w:pPr>
        <w:spacing w:before="49"/>
        <w:ind w:left="2980"/>
        <w:rPr>
          <w:b/>
          <w:sz w:val="28"/>
        </w:rPr>
      </w:pPr>
      <w:r>
        <w:rPr>
          <w:b/>
          <w:sz w:val="28"/>
        </w:rPr>
        <w:t>Education Reimbursement—Guidance Counselors</w:t>
      </w:r>
    </w:p>
    <w:p w:rsidR="009E235F" w:rsidRDefault="009E235F">
      <w:pPr>
        <w:pStyle w:val="BodyText"/>
        <w:rPr>
          <w:b/>
          <w:sz w:val="30"/>
        </w:rPr>
      </w:pPr>
    </w:p>
    <w:p w:rsidR="009E235F" w:rsidRDefault="00EC35AE">
      <w:pPr>
        <w:pStyle w:val="BodyText"/>
        <w:spacing w:before="219" w:line="276" w:lineRule="auto"/>
        <w:ind w:left="100" w:right="120"/>
      </w:pPr>
      <w:r>
        <w:t xml:space="preserve">School districts may receive special education reimbursement for a Guidance Counselor(s) providing work study or transition services to verified special education students provided that the service is </w:t>
      </w:r>
      <w:r>
        <w:rPr>
          <w:b/>
        </w:rPr>
        <w:t xml:space="preserve">in addition </w:t>
      </w:r>
      <w:r>
        <w:t>to the services provided to regular educati</w:t>
      </w:r>
      <w:r>
        <w:t xml:space="preserve">on peers and is </w:t>
      </w:r>
      <w:r>
        <w:rPr>
          <w:b/>
        </w:rPr>
        <w:t xml:space="preserve">necessary </w:t>
      </w:r>
      <w:r>
        <w:t xml:space="preserve">for the student to benefit from the special education services as indicated on the IEP. Vocational, work study, transitional, and career planning services provided to all students as part of the curriculum </w:t>
      </w:r>
      <w:r>
        <w:rPr>
          <w:b/>
        </w:rPr>
        <w:t xml:space="preserve">are not </w:t>
      </w:r>
      <w:r>
        <w:t>considered allow</w:t>
      </w:r>
      <w:r>
        <w:t>able reimbursable special education expenditures.</w:t>
      </w:r>
    </w:p>
    <w:p w:rsidR="009E235F" w:rsidRDefault="009E235F">
      <w:pPr>
        <w:pStyle w:val="BodyText"/>
        <w:rPr>
          <w:sz w:val="26"/>
        </w:rPr>
      </w:pPr>
    </w:p>
    <w:p w:rsidR="009E235F" w:rsidRDefault="00EC35AE">
      <w:pPr>
        <w:pStyle w:val="BodyText"/>
        <w:spacing w:before="218" w:line="276" w:lineRule="auto"/>
        <w:ind w:left="100" w:right="529"/>
      </w:pPr>
      <w:r>
        <w:t>School districts claiming special education reimbursement for a Guidance Counse</w:t>
      </w:r>
      <w:r>
        <w:t xml:space="preserve">lor(s) </w:t>
      </w:r>
      <w:r>
        <w:t>shall meet the following criteria:</w:t>
      </w:r>
    </w:p>
    <w:p w:rsidR="009E235F" w:rsidRDefault="00EC35AE">
      <w:pPr>
        <w:pStyle w:val="ListParagraph"/>
        <w:numPr>
          <w:ilvl w:val="0"/>
          <w:numId w:val="1"/>
        </w:numPr>
        <w:tabs>
          <w:tab w:val="left" w:pos="861"/>
          <w:tab w:val="left" w:pos="863"/>
        </w:tabs>
        <w:spacing w:before="198" w:line="273" w:lineRule="auto"/>
        <w:ind w:right="1411" w:hanging="360"/>
        <w:rPr>
          <w:sz w:val="24"/>
        </w:rPr>
      </w:pPr>
      <w:r>
        <w:rPr>
          <w:sz w:val="24"/>
        </w:rPr>
        <w:t>Certification and endorsement as per NDE Rule 51, specifically 92 NAC 010.01D20;</w:t>
      </w:r>
    </w:p>
    <w:p w:rsidR="009E235F" w:rsidRDefault="00EC35AE">
      <w:pPr>
        <w:pStyle w:val="ListParagraph"/>
        <w:numPr>
          <w:ilvl w:val="0"/>
          <w:numId w:val="1"/>
        </w:numPr>
        <w:tabs>
          <w:tab w:val="left" w:pos="861"/>
          <w:tab w:val="left" w:pos="863"/>
        </w:tabs>
        <w:ind w:hanging="360"/>
        <w:rPr>
          <w:sz w:val="24"/>
        </w:rPr>
      </w:pPr>
      <w:r>
        <w:rPr>
          <w:sz w:val="24"/>
        </w:rPr>
        <w:t>Delivery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special</w:t>
      </w:r>
      <w:r>
        <w:rPr>
          <w:spacing w:val="-3"/>
          <w:sz w:val="24"/>
        </w:rPr>
        <w:t xml:space="preserve"> </w:t>
      </w:r>
      <w:r>
        <w:rPr>
          <w:sz w:val="24"/>
        </w:rPr>
        <w:t>education</w:t>
      </w:r>
      <w:r>
        <w:rPr>
          <w:spacing w:val="-4"/>
          <w:sz w:val="24"/>
        </w:rPr>
        <w:t xml:space="preserve"> </w:t>
      </w:r>
      <w:r>
        <w:rPr>
          <w:sz w:val="24"/>
        </w:rPr>
        <w:t>service</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included</w:t>
      </w:r>
      <w:r>
        <w:rPr>
          <w:spacing w:val="-4"/>
          <w:sz w:val="24"/>
        </w:rPr>
        <w:t xml:space="preserve"> </w:t>
      </w:r>
      <w:r>
        <w:rPr>
          <w:sz w:val="24"/>
        </w:rPr>
        <w:t>within</w:t>
      </w:r>
      <w:r>
        <w:rPr>
          <w:spacing w:val="-4"/>
          <w:sz w:val="24"/>
        </w:rPr>
        <w:t xml:space="preserve"> </w:t>
      </w:r>
      <w:r>
        <w:rPr>
          <w:sz w:val="24"/>
        </w:rPr>
        <w:t>the</w:t>
      </w:r>
      <w:r>
        <w:rPr>
          <w:spacing w:val="-3"/>
          <w:sz w:val="24"/>
        </w:rPr>
        <w:t xml:space="preserve"> </w:t>
      </w:r>
      <w:r>
        <w:rPr>
          <w:sz w:val="24"/>
        </w:rPr>
        <w:t>IEP</w:t>
      </w:r>
      <w:r>
        <w:rPr>
          <w:spacing w:val="-4"/>
          <w:sz w:val="24"/>
        </w:rPr>
        <w:t xml:space="preserve"> </w:t>
      </w:r>
      <w:r>
        <w:rPr>
          <w:sz w:val="24"/>
        </w:rPr>
        <w:t>as</w:t>
      </w:r>
      <w:r>
        <w:rPr>
          <w:spacing w:val="-4"/>
          <w:sz w:val="24"/>
        </w:rPr>
        <w:t xml:space="preserve"> </w:t>
      </w:r>
      <w:r>
        <w:rPr>
          <w:sz w:val="24"/>
        </w:rPr>
        <w:t>per NDE Rule 51 (92 NAC 51 007), specifically 92 NAC 51</w:t>
      </w:r>
      <w:r>
        <w:rPr>
          <w:spacing w:val="-13"/>
          <w:sz w:val="24"/>
        </w:rPr>
        <w:t xml:space="preserve"> </w:t>
      </w:r>
      <w:r>
        <w:rPr>
          <w:sz w:val="24"/>
        </w:rPr>
        <w:t>007.07A9;</w:t>
      </w:r>
    </w:p>
    <w:p w:rsidR="009E235F" w:rsidRDefault="009E235F">
      <w:pPr>
        <w:pStyle w:val="BodyText"/>
        <w:spacing w:before="1"/>
      </w:pPr>
    </w:p>
    <w:p w:rsidR="009E235F" w:rsidRDefault="00EC35AE">
      <w:pPr>
        <w:pStyle w:val="ListParagraph"/>
        <w:numPr>
          <w:ilvl w:val="0"/>
          <w:numId w:val="1"/>
        </w:numPr>
        <w:tabs>
          <w:tab w:val="left" w:pos="861"/>
          <w:tab w:val="left" w:pos="863"/>
        </w:tabs>
        <w:spacing w:before="1" w:line="237" w:lineRule="auto"/>
        <w:ind w:right="131" w:hanging="360"/>
        <w:rPr>
          <w:sz w:val="24"/>
        </w:rPr>
      </w:pPr>
      <w:r>
        <w:rPr>
          <w:sz w:val="24"/>
        </w:rPr>
        <w:t>Maintenance of time and effort logs supporting the amount of Full Time Equivalency (FTE) claimed for the Guidance Counselor providing the service (such documentation shall be made available</w:t>
      </w:r>
      <w:r>
        <w:rPr>
          <w:sz w:val="24"/>
        </w:rPr>
        <w:t xml:space="preserve"> to NDE upon request);</w:t>
      </w:r>
      <w:r>
        <w:rPr>
          <w:spacing w:val="-11"/>
          <w:sz w:val="24"/>
        </w:rPr>
        <w:t xml:space="preserve"> </w:t>
      </w:r>
      <w:r>
        <w:rPr>
          <w:sz w:val="24"/>
        </w:rPr>
        <w:t>and</w:t>
      </w:r>
    </w:p>
    <w:p w:rsidR="009E235F" w:rsidRDefault="009E235F">
      <w:pPr>
        <w:pStyle w:val="BodyText"/>
        <w:spacing w:before="3"/>
      </w:pPr>
    </w:p>
    <w:p w:rsidR="009E235F" w:rsidRDefault="00EC35AE">
      <w:pPr>
        <w:pStyle w:val="ListParagraph"/>
        <w:numPr>
          <w:ilvl w:val="0"/>
          <w:numId w:val="1"/>
        </w:numPr>
        <w:tabs>
          <w:tab w:val="left" w:pos="861"/>
          <w:tab w:val="left" w:pos="863"/>
        </w:tabs>
        <w:spacing w:before="0"/>
        <w:ind w:right="385" w:hanging="360"/>
        <w:rPr>
          <w:sz w:val="24"/>
        </w:rPr>
      </w:pPr>
      <w:r>
        <w:rPr>
          <w:sz w:val="24"/>
        </w:rPr>
        <w:t>Contract for Guidance Counselor reflects the delivery of transition and work study services for students with</w:t>
      </w:r>
      <w:r>
        <w:rPr>
          <w:spacing w:val="-2"/>
          <w:sz w:val="24"/>
        </w:rPr>
        <w:t xml:space="preserve"> </w:t>
      </w:r>
      <w:r>
        <w:rPr>
          <w:sz w:val="24"/>
        </w:rPr>
        <w:t>disabilities.</w:t>
      </w:r>
    </w:p>
    <w:sectPr w:rsidR="009E235F">
      <w:type w:val="continuous"/>
      <w:pgSz w:w="12240" w:h="15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14E"/>
    <w:multiLevelType w:val="hybridMultilevel"/>
    <w:tmpl w:val="A4725B5C"/>
    <w:lvl w:ilvl="0" w:tplc="45AC3F06">
      <w:numFmt w:val="bullet"/>
      <w:lvlText w:val=""/>
      <w:lvlJc w:val="left"/>
      <w:pPr>
        <w:ind w:left="862" w:hanging="361"/>
      </w:pPr>
      <w:rPr>
        <w:rFonts w:ascii="Symbol" w:eastAsia="Symbol" w:hAnsi="Symbol" w:cs="Symbol" w:hint="default"/>
        <w:w w:val="100"/>
        <w:sz w:val="24"/>
        <w:szCs w:val="24"/>
      </w:rPr>
    </w:lvl>
    <w:lvl w:ilvl="1" w:tplc="51BADBA4">
      <w:numFmt w:val="bullet"/>
      <w:lvlText w:val="•"/>
      <w:lvlJc w:val="left"/>
      <w:pPr>
        <w:ind w:left="1762" w:hanging="361"/>
      </w:pPr>
      <w:rPr>
        <w:rFonts w:hint="default"/>
      </w:rPr>
    </w:lvl>
    <w:lvl w:ilvl="2" w:tplc="BD027656">
      <w:numFmt w:val="bullet"/>
      <w:lvlText w:val="•"/>
      <w:lvlJc w:val="left"/>
      <w:pPr>
        <w:ind w:left="2664" w:hanging="361"/>
      </w:pPr>
      <w:rPr>
        <w:rFonts w:hint="default"/>
      </w:rPr>
    </w:lvl>
    <w:lvl w:ilvl="3" w:tplc="23D4EF16">
      <w:numFmt w:val="bullet"/>
      <w:lvlText w:val="•"/>
      <w:lvlJc w:val="left"/>
      <w:pPr>
        <w:ind w:left="3566" w:hanging="361"/>
      </w:pPr>
      <w:rPr>
        <w:rFonts w:hint="default"/>
      </w:rPr>
    </w:lvl>
    <w:lvl w:ilvl="4" w:tplc="A590FF50">
      <w:numFmt w:val="bullet"/>
      <w:lvlText w:val="•"/>
      <w:lvlJc w:val="left"/>
      <w:pPr>
        <w:ind w:left="4468" w:hanging="361"/>
      </w:pPr>
      <w:rPr>
        <w:rFonts w:hint="default"/>
      </w:rPr>
    </w:lvl>
    <w:lvl w:ilvl="5" w:tplc="593EFEF6">
      <w:numFmt w:val="bullet"/>
      <w:lvlText w:val="•"/>
      <w:lvlJc w:val="left"/>
      <w:pPr>
        <w:ind w:left="5370" w:hanging="361"/>
      </w:pPr>
      <w:rPr>
        <w:rFonts w:hint="default"/>
      </w:rPr>
    </w:lvl>
    <w:lvl w:ilvl="6" w:tplc="AAB6B4AA">
      <w:numFmt w:val="bullet"/>
      <w:lvlText w:val="•"/>
      <w:lvlJc w:val="left"/>
      <w:pPr>
        <w:ind w:left="6272" w:hanging="361"/>
      </w:pPr>
      <w:rPr>
        <w:rFonts w:hint="default"/>
      </w:rPr>
    </w:lvl>
    <w:lvl w:ilvl="7" w:tplc="5CA21BA4">
      <w:numFmt w:val="bullet"/>
      <w:lvlText w:val="•"/>
      <w:lvlJc w:val="left"/>
      <w:pPr>
        <w:ind w:left="7174" w:hanging="361"/>
      </w:pPr>
      <w:rPr>
        <w:rFonts w:hint="default"/>
      </w:rPr>
    </w:lvl>
    <w:lvl w:ilvl="8" w:tplc="E1A61D56">
      <w:numFmt w:val="bullet"/>
      <w:lvlText w:val="•"/>
      <w:lvlJc w:val="left"/>
      <w:pPr>
        <w:ind w:left="807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5F"/>
    <w:rsid w:val="009E235F"/>
    <w:rsid w:val="00EC35AE"/>
    <w:rsid w:val="00F7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E4D0"/>
  <w15:docId w15:val="{C047C150-2F14-426C-B3F9-CA4FB0AA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9"/>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1"/>
      <w:ind w:left="862" w:right="5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C8FEE026</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NDE Guidelines for Guidence Counselors.docx</vt:lpstr>
    </vt:vector>
  </TitlesOfParts>
  <Company>Nebraska Department of Education</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NDE Guidelines for Guidence Counselors.docx</dc:title>
  <dc:creator>ladams</dc:creator>
  <cp:lastModifiedBy>Suzie Pierce</cp:lastModifiedBy>
  <cp:revision>2</cp:revision>
  <dcterms:created xsi:type="dcterms:W3CDTF">2018-05-14T15:09:00Z</dcterms:created>
  <dcterms:modified xsi:type="dcterms:W3CDTF">2018-05-14T15:09:00Z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PScript5.dll Version 5.2.2</vt:lpwstr>
  </property>
  <property fmtid="{D5CDD505-2E9C-101B-9397-08002B2CF9AE}" pid="4" name="LastSaved">
    <vt:filetime>2018-05-14T00:00:00Z</vt:filetime>
  </property>
</Properties>
</file>