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AC" w:rsidRDefault="00460F49" w:rsidP="00D12917">
      <w:pPr>
        <w:spacing w:after="0"/>
        <w:jc w:val="center"/>
      </w:pPr>
      <w:bookmarkStart w:id="0" w:name="_GoBack"/>
      <w:bookmarkEnd w:id="0"/>
      <w:r>
        <w:t>Notes</w:t>
      </w:r>
    </w:p>
    <w:p w:rsidR="003A21B8" w:rsidRDefault="003A21B8" w:rsidP="00D12917">
      <w:pPr>
        <w:spacing w:after="0"/>
        <w:jc w:val="center"/>
      </w:pPr>
      <w:r>
        <w:t>District Data Collection Group</w:t>
      </w:r>
    </w:p>
    <w:p w:rsidR="003A21B8" w:rsidRDefault="00667842" w:rsidP="00D12917">
      <w:pPr>
        <w:spacing w:after="0"/>
        <w:jc w:val="center"/>
      </w:pPr>
      <w:r>
        <w:t>8/6</w:t>
      </w:r>
      <w:r w:rsidR="005B6812">
        <w:t>/2014</w:t>
      </w:r>
      <w:r w:rsidR="007A6F44">
        <w:t>; 10:00 a.m. CDT</w:t>
      </w:r>
    </w:p>
    <w:p w:rsidR="00D12917" w:rsidRDefault="00D12917" w:rsidP="00D12917">
      <w:pPr>
        <w:spacing w:after="0"/>
        <w:jc w:val="center"/>
      </w:pPr>
    </w:p>
    <w:p w:rsidR="00C33EC2" w:rsidRDefault="00C33EC2" w:rsidP="003A21B8">
      <w:pPr>
        <w:pStyle w:val="ListParagraph"/>
        <w:numPr>
          <w:ilvl w:val="0"/>
          <w:numId w:val="1"/>
        </w:numPr>
      </w:pPr>
      <w:r>
        <w:t>Introductions</w:t>
      </w:r>
    </w:p>
    <w:p w:rsidR="00FB0C23" w:rsidRDefault="00FB0C23" w:rsidP="003A21B8">
      <w:pPr>
        <w:pStyle w:val="ListParagraph"/>
        <w:numPr>
          <w:ilvl w:val="0"/>
          <w:numId w:val="1"/>
        </w:numPr>
      </w:pPr>
      <w:r>
        <w:t>Proposed New Transfer Out codes</w:t>
      </w:r>
    </w:p>
    <w:p w:rsidR="00460F49" w:rsidRDefault="00460F49" w:rsidP="00460F49">
      <w:pPr>
        <w:pStyle w:val="ListParagraph"/>
        <w:numPr>
          <w:ilvl w:val="1"/>
          <w:numId w:val="1"/>
        </w:numPr>
      </w:pPr>
      <w:r>
        <w:t>See Power Point attachment</w:t>
      </w:r>
    </w:p>
    <w:p w:rsidR="00460F49" w:rsidRDefault="002C7A16" w:rsidP="00460F49">
      <w:pPr>
        <w:pStyle w:val="ListParagraph"/>
        <w:numPr>
          <w:ilvl w:val="1"/>
          <w:numId w:val="1"/>
        </w:numPr>
      </w:pPr>
      <w:r>
        <w:t>It was suggested to a</w:t>
      </w:r>
      <w:r w:rsidR="00460F49">
        <w:t>dd another code for Transfer out of Country would be helpful as different paperwork is required.  There was some confusion o</w:t>
      </w:r>
      <w:r>
        <w:t>n how these students should be reported, dropouts or transfer outs.  These students</w:t>
      </w:r>
      <w:r w:rsidR="00460F49">
        <w:t xml:space="preserve"> can be counted as transferred out based on these two publications</w:t>
      </w:r>
      <w:r>
        <w:t xml:space="preserve"> and the documentation requirements are noted below</w:t>
      </w:r>
      <w:r w:rsidR="00460F49">
        <w:t>:</w:t>
      </w:r>
    </w:p>
    <w:p w:rsidR="00460F49" w:rsidRDefault="00460F49" w:rsidP="00460F49">
      <w:pPr>
        <w:pStyle w:val="ListParagraph"/>
        <w:ind w:left="1440"/>
        <w:rPr>
          <w:rFonts w:ascii="Tahoma" w:eastAsia="Times New Roman" w:hAnsi="Tahoma" w:cs="Tahoma"/>
          <w:color w:val="000000"/>
          <w:sz w:val="20"/>
          <w:szCs w:val="20"/>
        </w:rPr>
      </w:pPr>
    </w:p>
    <w:p w:rsidR="00460F49" w:rsidRDefault="00460F49" w:rsidP="00460F49">
      <w:pPr>
        <w:pStyle w:val="ListParagraph"/>
        <w:ind w:left="1440"/>
        <w:rPr>
          <w:rFonts w:ascii="Tahoma" w:eastAsia="Times New Roman" w:hAnsi="Tahoma" w:cs="Tahoma"/>
          <w:color w:val="000000"/>
          <w:sz w:val="20"/>
          <w:szCs w:val="20"/>
        </w:rPr>
      </w:pPr>
      <w:r>
        <w:rPr>
          <w:rFonts w:ascii="Tahoma" w:eastAsia="Times New Roman" w:hAnsi="Tahoma" w:cs="Tahoma"/>
          <w:color w:val="000000"/>
          <w:sz w:val="20"/>
          <w:szCs w:val="20"/>
        </w:rPr>
        <w:t xml:space="preserve">From NDE </w:t>
      </w:r>
      <w:r w:rsidRPr="00460F49">
        <w:rPr>
          <w:rFonts w:ascii="Tahoma" w:eastAsia="Times New Roman" w:hAnsi="Tahoma" w:cs="Tahoma"/>
          <w:color w:val="000000"/>
          <w:sz w:val="20"/>
          <w:szCs w:val="20"/>
          <w:u w:val="single"/>
        </w:rPr>
        <w:t>Guidance for Graduation Cohort</w:t>
      </w:r>
      <w:r>
        <w:rPr>
          <w:rFonts w:ascii="Tahoma" w:eastAsia="Times New Roman" w:hAnsi="Tahoma" w:cs="Tahoma"/>
          <w:color w:val="000000"/>
          <w:sz w:val="20"/>
          <w:szCs w:val="20"/>
        </w:rPr>
        <w:t xml:space="preserve"> under frequently asked questions:</w:t>
      </w:r>
    </w:p>
    <w:p w:rsidR="00460F49" w:rsidRPr="00460F49" w:rsidRDefault="00460F49" w:rsidP="00460F49">
      <w:pPr>
        <w:pStyle w:val="ListParagraph"/>
        <w:ind w:left="1440"/>
        <w:rPr>
          <w:rFonts w:ascii="Tahoma" w:eastAsia="Times New Roman" w:hAnsi="Tahoma" w:cs="Tahoma"/>
          <w:color w:val="000000"/>
          <w:sz w:val="20"/>
          <w:szCs w:val="20"/>
        </w:rPr>
      </w:pPr>
      <w:proofErr w:type="gramStart"/>
      <w:r w:rsidRPr="00460F49">
        <w:rPr>
          <w:rFonts w:ascii="Tahoma" w:eastAsia="Times New Roman" w:hAnsi="Tahoma" w:cs="Tahoma"/>
          <w:color w:val="000000"/>
          <w:sz w:val="20"/>
          <w:szCs w:val="20"/>
        </w:rPr>
        <w:t>A-28.</w:t>
      </w:r>
      <w:proofErr w:type="gramEnd"/>
      <w:r w:rsidRPr="00460F49">
        <w:rPr>
          <w:rFonts w:ascii="Tahoma" w:eastAsia="Times New Roman" w:hAnsi="Tahoma" w:cs="Tahoma"/>
          <w:color w:val="000000"/>
          <w:sz w:val="20"/>
          <w:szCs w:val="20"/>
        </w:rPr>
        <w:t xml:space="preserve"> What documentation is required to confirm that a student has </w:t>
      </w:r>
      <w:proofErr w:type="gramStart"/>
      <w:r w:rsidRPr="00460F49">
        <w:rPr>
          <w:rFonts w:ascii="Tahoma" w:eastAsia="Times New Roman" w:hAnsi="Tahoma" w:cs="Tahoma"/>
          <w:color w:val="000000"/>
          <w:sz w:val="20"/>
          <w:szCs w:val="20"/>
        </w:rPr>
        <w:t>emigrated</w:t>
      </w:r>
      <w:proofErr w:type="gramEnd"/>
      <w:r w:rsidRPr="00460F49">
        <w:rPr>
          <w:rFonts w:ascii="Tahoma" w:eastAsia="Times New Roman" w:hAnsi="Tahoma" w:cs="Tahoma"/>
          <w:color w:val="000000"/>
          <w:sz w:val="20"/>
          <w:szCs w:val="20"/>
        </w:rPr>
        <w:t xml:space="preserve"> to another country? </w:t>
      </w:r>
    </w:p>
    <w:p w:rsidR="00460F49" w:rsidRPr="00460F49" w:rsidRDefault="00460F49" w:rsidP="00460F49">
      <w:pPr>
        <w:ind w:left="1440"/>
        <w:rPr>
          <w:rFonts w:ascii="Tahoma" w:eastAsia="Times New Roman" w:hAnsi="Tahoma" w:cs="Tahoma"/>
          <w:color w:val="000000"/>
          <w:sz w:val="20"/>
          <w:szCs w:val="20"/>
        </w:rPr>
      </w:pPr>
      <w:r w:rsidRPr="00460F49">
        <w:rPr>
          <w:rFonts w:ascii="Tahoma" w:eastAsia="Times New Roman" w:hAnsi="Tahoma" w:cs="Tahoma"/>
          <w:color w:val="000000"/>
          <w:sz w:val="20"/>
          <w:szCs w:val="20"/>
        </w:rPr>
        <w:t>A school or LEA must have written confirmation that a student has emigrated to another country (34 C.F.R. §200.19(b</w:t>
      </w:r>
      <w:proofErr w:type="gramStart"/>
      <w:r w:rsidRPr="00460F49">
        <w:rPr>
          <w:rFonts w:ascii="Tahoma" w:eastAsia="Times New Roman" w:hAnsi="Tahoma" w:cs="Tahoma"/>
          <w:color w:val="000000"/>
          <w:sz w:val="20"/>
          <w:szCs w:val="20"/>
        </w:rPr>
        <w:t>)(</w:t>
      </w:r>
      <w:proofErr w:type="gramEnd"/>
      <w:r w:rsidRPr="00460F49">
        <w:rPr>
          <w:rFonts w:ascii="Tahoma" w:eastAsia="Times New Roman" w:hAnsi="Tahoma" w:cs="Tahoma"/>
          <w:color w:val="000000"/>
          <w:sz w:val="20"/>
          <w:szCs w:val="20"/>
        </w:rPr>
        <w:t>1)(ii)(B)), but need not obtain official written documentation. For</w:t>
      </w:r>
      <w:r>
        <w:rPr>
          <w:rFonts w:ascii="Tahoma" w:eastAsia="Times New Roman" w:hAnsi="Tahoma" w:cs="Tahoma"/>
          <w:color w:val="000000"/>
          <w:sz w:val="20"/>
          <w:szCs w:val="20"/>
        </w:rPr>
        <w:t xml:space="preserve"> </w:t>
      </w:r>
      <w:r w:rsidRPr="00460F49">
        <w:rPr>
          <w:rFonts w:ascii="Tahoma" w:eastAsia="Times New Roman" w:hAnsi="Tahoma" w:cs="Tahoma"/>
          <w:color w:val="000000"/>
          <w:sz w:val="20"/>
          <w:szCs w:val="20"/>
        </w:rPr>
        <w:t>example, if a parent informs a school administrator that the family is leaving the country, the</w:t>
      </w:r>
      <w:r>
        <w:rPr>
          <w:rFonts w:ascii="Tahoma" w:eastAsia="Times New Roman" w:hAnsi="Tahoma" w:cs="Tahoma"/>
          <w:color w:val="000000"/>
          <w:sz w:val="20"/>
          <w:szCs w:val="20"/>
        </w:rPr>
        <w:t xml:space="preserve"> </w:t>
      </w:r>
      <w:r w:rsidRPr="00460F49">
        <w:rPr>
          <w:rFonts w:ascii="Tahoma" w:eastAsia="Times New Roman" w:hAnsi="Tahoma" w:cs="Tahoma"/>
          <w:color w:val="000000"/>
          <w:sz w:val="20"/>
          <w:szCs w:val="20"/>
        </w:rPr>
        <w:t>school administrator may document this conversation in writing and include it in the student’s</w:t>
      </w:r>
      <w:r>
        <w:rPr>
          <w:rFonts w:ascii="Tahoma" w:eastAsia="Times New Roman" w:hAnsi="Tahoma" w:cs="Tahoma"/>
          <w:color w:val="000000"/>
          <w:sz w:val="20"/>
          <w:szCs w:val="20"/>
        </w:rPr>
        <w:t xml:space="preserve"> </w:t>
      </w:r>
      <w:r w:rsidRPr="00460F49">
        <w:rPr>
          <w:rFonts w:ascii="Tahoma" w:eastAsia="Times New Roman" w:hAnsi="Tahoma" w:cs="Tahoma"/>
          <w:color w:val="000000"/>
          <w:sz w:val="20"/>
          <w:szCs w:val="20"/>
        </w:rPr>
        <w:t>file. The regulations do not require written documentation to be “official” for a student who </w:t>
      </w:r>
      <w:proofErr w:type="gramStart"/>
      <w:r w:rsidRPr="00460F49">
        <w:rPr>
          <w:rFonts w:ascii="Tahoma" w:eastAsia="Times New Roman" w:hAnsi="Tahoma" w:cs="Tahoma"/>
          <w:color w:val="000000"/>
          <w:sz w:val="20"/>
          <w:szCs w:val="20"/>
        </w:rPr>
        <w:t>emigrates</w:t>
      </w:r>
      <w:proofErr w:type="gramEnd"/>
      <w:r w:rsidRPr="00460F49">
        <w:rPr>
          <w:rFonts w:ascii="Tahoma" w:eastAsia="Times New Roman" w:hAnsi="Tahoma" w:cs="Tahoma"/>
          <w:color w:val="000000"/>
          <w:sz w:val="20"/>
          <w:szCs w:val="20"/>
        </w:rPr>
        <w:t xml:space="preserve"> to another country because the Department recognizes that it may be difficult, if not</w:t>
      </w:r>
      <w:r>
        <w:rPr>
          <w:rFonts w:ascii="Tahoma" w:eastAsia="Times New Roman" w:hAnsi="Tahoma" w:cs="Tahoma"/>
          <w:color w:val="000000"/>
          <w:sz w:val="20"/>
          <w:szCs w:val="20"/>
        </w:rPr>
        <w:t xml:space="preserve"> </w:t>
      </w:r>
      <w:r w:rsidRPr="00460F49">
        <w:rPr>
          <w:rFonts w:ascii="Tahoma" w:eastAsia="Times New Roman" w:hAnsi="Tahoma" w:cs="Tahoma"/>
          <w:color w:val="000000"/>
          <w:sz w:val="20"/>
          <w:szCs w:val="20"/>
        </w:rPr>
        <w:t>impossible, to obtain transcripts or other official documentation from another country confirming that the student is enrolled in school. </w:t>
      </w:r>
    </w:p>
    <w:p w:rsidR="00460F49" w:rsidRDefault="00460F49" w:rsidP="00460F49">
      <w:pPr>
        <w:ind w:left="1440"/>
        <w:rPr>
          <w:rFonts w:ascii="Tahoma" w:eastAsia="Times New Roman" w:hAnsi="Tahoma" w:cs="Tahoma"/>
          <w:color w:val="000000"/>
          <w:sz w:val="20"/>
          <w:szCs w:val="20"/>
        </w:rPr>
      </w:pPr>
      <w:r>
        <w:rPr>
          <w:rFonts w:ascii="Tahoma" w:eastAsia="Times New Roman" w:hAnsi="Tahoma" w:cs="Tahoma"/>
          <w:color w:val="000000"/>
          <w:sz w:val="20"/>
          <w:szCs w:val="20"/>
        </w:rPr>
        <w:t xml:space="preserve">From </w:t>
      </w:r>
      <w:r w:rsidRPr="00460F49">
        <w:rPr>
          <w:rFonts w:ascii="Tahoma" w:eastAsia="Times New Roman" w:hAnsi="Tahoma" w:cs="Tahoma"/>
          <w:color w:val="000000"/>
          <w:sz w:val="20"/>
          <w:szCs w:val="20"/>
          <w:u w:val="single"/>
        </w:rPr>
        <w:t xml:space="preserve">No Child Left </w:t>
      </w:r>
      <w:proofErr w:type="gramStart"/>
      <w:r w:rsidRPr="00460F49">
        <w:rPr>
          <w:rFonts w:ascii="Tahoma" w:eastAsia="Times New Roman" w:hAnsi="Tahoma" w:cs="Tahoma"/>
          <w:color w:val="000000"/>
          <w:sz w:val="20"/>
          <w:szCs w:val="20"/>
          <w:u w:val="single"/>
        </w:rPr>
        <w:t>Behind</w:t>
      </w:r>
      <w:proofErr w:type="gramEnd"/>
      <w:r w:rsidRPr="00460F49">
        <w:rPr>
          <w:rFonts w:ascii="Tahoma" w:eastAsia="Times New Roman" w:hAnsi="Tahoma" w:cs="Tahoma"/>
          <w:color w:val="000000"/>
          <w:sz w:val="20"/>
          <w:szCs w:val="20"/>
          <w:u w:val="single"/>
        </w:rPr>
        <w:t xml:space="preserve"> High School Graduation Rate Non-Regulatory Guidance</w:t>
      </w:r>
      <w:r>
        <w:rPr>
          <w:rFonts w:ascii="Tahoma" w:eastAsia="Times New Roman" w:hAnsi="Tahoma" w:cs="Tahoma"/>
          <w:color w:val="000000"/>
          <w:sz w:val="20"/>
          <w:szCs w:val="20"/>
        </w:rPr>
        <w:t xml:space="preserve"> located at </w:t>
      </w:r>
      <w:r w:rsidRPr="00460F49">
        <w:rPr>
          <w:rFonts w:ascii="Tahoma" w:eastAsia="Times New Roman" w:hAnsi="Tahoma" w:cs="Tahoma"/>
          <w:color w:val="000000"/>
          <w:sz w:val="20"/>
          <w:szCs w:val="20"/>
        </w:rPr>
        <w:t>http://</w:t>
      </w:r>
      <w:hyperlink r:id="rId6" w:history="1">
        <w:r w:rsidRPr="00460F49">
          <w:rPr>
            <w:rStyle w:val="Hyperlink"/>
            <w:rFonts w:ascii="Tahoma" w:eastAsia="Times New Roman" w:hAnsi="Tahoma" w:cs="Tahoma"/>
            <w:sz w:val="20"/>
            <w:szCs w:val="20"/>
          </w:rPr>
          <w:t>www2.ed.gov/policy/elsec/guid/hsgrguidance.pdf</w:t>
        </w:r>
      </w:hyperlink>
      <w:r>
        <w:rPr>
          <w:rFonts w:ascii="Tahoma" w:eastAsia="Times New Roman" w:hAnsi="Tahoma" w:cs="Tahoma"/>
          <w:color w:val="000000"/>
          <w:sz w:val="20"/>
          <w:szCs w:val="20"/>
        </w:rPr>
        <w:t>.</w:t>
      </w:r>
    </w:p>
    <w:p w:rsidR="00AF4EC0" w:rsidRDefault="00AF4EC0" w:rsidP="00AF4EC0">
      <w:pPr>
        <w:ind w:left="1440"/>
        <w:rPr>
          <w:rFonts w:ascii="Tahoma" w:hAnsi="Tahoma" w:cs="Tahoma"/>
          <w:color w:val="000000"/>
          <w:sz w:val="20"/>
          <w:szCs w:val="20"/>
        </w:rPr>
      </w:pPr>
      <w:r>
        <w:rPr>
          <w:rFonts w:ascii="Tahoma" w:hAnsi="Tahoma" w:cs="Tahoma"/>
          <w:color w:val="000000"/>
          <w:sz w:val="20"/>
          <w:szCs w:val="20"/>
        </w:rPr>
        <w:t>The Assessment Office said if a student is in the testing file but they are no longer enrolled, there is a process in their system for handling that BUT if the student is left in the file and gets a zero score, this can be resolved with the Assessment office if you have an appropriate transfer out school enrollment record for the student.</w:t>
      </w:r>
    </w:p>
    <w:p w:rsidR="002C7A16" w:rsidRDefault="002C7A16" w:rsidP="00460F49">
      <w:pPr>
        <w:ind w:left="1440"/>
        <w:rPr>
          <w:rFonts w:ascii="Tahoma" w:eastAsia="Times New Roman" w:hAnsi="Tahoma" w:cs="Tahoma"/>
          <w:color w:val="000000"/>
          <w:sz w:val="20"/>
          <w:szCs w:val="20"/>
        </w:rPr>
      </w:pPr>
      <w:r>
        <w:rPr>
          <w:rFonts w:ascii="Tahoma" w:eastAsia="Times New Roman" w:hAnsi="Tahoma" w:cs="Tahoma"/>
          <w:color w:val="000000"/>
          <w:sz w:val="20"/>
          <w:szCs w:val="20"/>
        </w:rPr>
        <w:t>The Non</w:t>
      </w:r>
      <w:r w:rsidR="00823DA2">
        <w:rPr>
          <w:rFonts w:ascii="Tahoma" w:eastAsia="Times New Roman" w:hAnsi="Tahoma" w:cs="Tahoma"/>
          <w:color w:val="000000"/>
          <w:sz w:val="20"/>
          <w:szCs w:val="20"/>
        </w:rPr>
        <w:t>p</w:t>
      </w:r>
      <w:r>
        <w:rPr>
          <w:rFonts w:ascii="Tahoma" w:eastAsia="Times New Roman" w:hAnsi="Tahoma" w:cs="Tahoma"/>
          <w:color w:val="000000"/>
          <w:sz w:val="20"/>
          <w:szCs w:val="20"/>
        </w:rPr>
        <w:t>ublic/Exempt Home school</w:t>
      </w:r>
      <w:r w:rsidR="00343092">
        <w:rPr>
          <w:rFonts w:ascii="Tahoma" w:eastAsia="Times New Roman" w:hAnsi="Tahoma" w:cs="Tahoma"/>
          <w:color w:val="000000"/>
          <w:sz w:val="20"/>
          <w:szCs w:val="20"/>
        </w:rPr>
        <w:t xml:space="preserve"> indicator, the group thought this indicator would be good.</w:t>
      </w:r>
      <w:r w:rsidR="00823DA2">
        <w:rPr>
          <w:rFonts w:ascii="Tahoma" w:eastAsia="Times New Roman" w:hAnsi="Tahoma" w:cs="Tahoma"/>
          <w:color w:val="000000"/>
          <w:sz w:val="20"/>
          <w:szCs w:val="20"/>
        </w:rPr>
        <w:t xml:space="preserve">  It will help NDE on some of our validation reports and will help us review the FTE of these students as it shouldn’t be 100.</w:t>
      </w:r>
    </w:p>
    <w:p w:rsidR="002C7A16" w:rsidRPr="00460F49" w:rsidRDefault="00343092" w:rsidP="00460F49">
      <w:pPr>
        <w:ind w:left="1440"/>
        <w:rPr>
          <w:rFonts w:ascii="Tahoma" w:eastAsia="Times New Roman" w:hAnsi="Tahoma" w:cs="Tahoma"/>
          <w:color w:val="000000"/>
          <w:sz w:val="20"/>
          <w:szCs w:val="20"/>
        </w:rPr>
      </w:pPr>
      <w:r>
        <w:rPr>
          <w:rFonts w:ascii="Tahoma" w:eastAsia="Times New Roman" w:hAnsi="Tahoma" w:cs="Tahoma"/>
          <w:color w:val="000000"/>
          <w:sz w:val="20"/>
          <w:szCs w:val="20"/>
        </w:rPr>
        <w:t>On the guidance related to transfer out/transfer in in the same school year, I will hold on adding that to the guidance until I can review the data once we implement new codes and see how many students are left unaccounted for.</w:t>
      </w:r>
    </w:p>
    <w:p w:rsidR="001C035E" w:rsidRDefault="00667842" w:rsidP="00823DA2">
      <w:pPr>
        <w:pStyle w:val="ListParagraph"/>
        <w:numPr>
          <w:ilvl w:val="0"/>
          <w:numId w:val="1"/>
        </w:numPr>
        <w:spacing w:after="0"/>
      </w:pPr>
      <w:r>
        <w:t>Summer School Courses Reported in November</w:t>
      </w:r>
    </w:p>
    <w:p w:rsidR="002C7A16" w:rsidRDefault="00460F49" w:rsidP="00823DA2">
      <w:pPr>
        <w:spacing w:after="0"/>
        <w:ind w:left="720"/>
      </w:pPr>
      <w:r>
        <w:t xml:space="preserve">The Data Manager now allows us more flexibility on “windows” so for 2014-2015 Jill was able to allow school districts to report </w:t>
      </w:r>
      <w:r w:rsidR="002C7A16">
        <w:t xml:space="preserve">2015 </w:t>
      </w:r>
      <w:r>
        <w:t xml:space="preserve">summer school courses to be applied to 2014-2015 school </w:t>
      </w:r>
      <w:r>
        <w:lastRenderedPageBreak/>
        <w:t xml:space="preserve">year to be reported in the Year-End window.  If the courses have not been completed until later </w:t>
      </w:r>
      <w:r w:rsidR="002C7A16">
        <w:t>they can be reported in the Follow-up Collection which opens in August</w:t>
      </w:r>
      <w:r w:rsidR="00A5203F">
        <w:t>.</w:t>
      </w:r>
    </w:p>
    <w:p w:rsidR="00A5203F" w:rsidRDefault="00A5203F" w:rsidP="00823DA2">
      <w:pPr>
        <w:spacing w:after="0"/>
        <w:ind w:left="720"/>
      </w:pPr>
    </w:p>
    <w:p w:rsidR="003F0154" w:rsidRDefault="003F0154" w:rsidP="00823DA2">
      <w:pPr>
        <w:pStyle w:val="ListParagraph"/>
        <w:numPr>
          <w:ilvl w:val="0"/>
          <w:numId w:val="1"/>
        </w:numPr>
        <w:spacing w:after="0"/>
      </w:pPr>
      <w:r>
        <w:t>Grading Question (Final vs. Grading Period vs Transcript)</w:t>
      </w:r>
      <w:r w:rsidR="002C7A16">
        <w:t xml:space="preserve"> – This one got out of order during the meeting in case you listen to the recording.  It sounded like to districts this question on grading is that they are all the same.  In the transcript, they record the grading period grades as final grades.</w:t>
      </w:r>
    </w:p>
    <w:p w:rsidR="00823DA2" w:rsidRDefault="00823DA2" w:rsidP="00823DA2">
      <w:pPr>
        <w:spacing w:after="0"/>
      </w:pPr>
    </w:p>
    <w:p w:rsidR="00823DA2" w:rsidRDefault="00AB5B2A" w:rsidP="00823DA2">
      <w:pPr>
        <w:pStyle w:val="ListParagraph"/>
        <w:numPr>
          <w:ilvl w:val="0"/>
          <w:numId w:val="1"/>
        </w:numPr>
        <w:spacing w:after="0"/>
      </w:pPr>
      <w:r>
        <w:t>Privacy and Transparency</w:t>
      </w:r>
      <w:r w:rsidR="00823DA2">
        <w:t xml:space="preserve"> – Dean asked if school districts have any issues, documents, language in 3</w:t>
      </w:r>
      <w:r w:rsidR="00823DA2" w:rsidRPr="00823DA2">
        <w:rPr>
          <w:vertAlign w:val="superscript"/>
        </w:rPr>
        <w:t>rd</w:t>
      </w:r>
      <w:r w:rsidR="00823DA2">
        <w:t xml:space="preserve"> party contracts, etc. related to privacy they can share.  At the National Center for Education Statistics Summer Data Conference, states are looking for best practices related to privacy and transparency.  If you have items to share, please forward those to Dean.  Dean suggested that NDE will be bringing this topic forward to be proactive and avoid what some states have experienced.  He described a 3 pronged approach:  1) awareness, 2</w:t>
      </w:r>
      <w:proofErr w:type="gramStart"/>
      <w:r w:rsidR="00823DA2">
        <w:t>)tools</w:t>
      </w:r>
      <w:proofErr w:type="gramEnd"/>
      <w:r w:rsidR="00823DA2">
        <w:t xml:space="preserve">/technical assistance, 3) </w:t>
      </w:r>
      <w:r w:rsidR="00A5203F" w:rsidRPr="00A5203F">
        <w:t>governance and support.</w:t>
      </w:r>
    </w:p>
    <w:p w:rsidR="00823DA2" w:rsidRDefault="00823DA2" w:rsidP="00823DA2">
      <w:pPr>
        <w:pStyle w:val="ListParagraph"/>
      </w:pPr>
    </w:p>
    <w:p w:rsidR="00823DA2" w:rsidRDefault="00823DA2" w:rsidP="00823DA2">
      <w:pPr>
        <w:spacing w:after="0"/>
        <w:ind w:left="720"/>
      </w:pPr>
      <w:r>
        <w:t>There was some discussion about district Legal staff reviewing contracts and hoping they are including language that would protect student data if appropriate.  Another issue is Freedom of Information Act requests and the data districts can provide.</w:t>
      </w:r>
    </w:p>
    <w:p w:rsidR="00823DA2" w:rsidRDefault="00823DA2" w:rsidP="00823DA2">
      <w:pPr>
        <w:spacing w:after="0"/>
        <w:ind w:left="720"/>
      </w:pPr>
    </w:p>
    <w:p w:rsidR="00AB5B2A" w:rsidRDefault="00AB5B2A" w:rsidP="001C035E">
      <w:pPr>
        <w:pStyle w:val="ListParagraph"/>
        <w:numPr>
          <w:ilvl w:val="0"/>
          <w:numId w:val="1"/>
        </w:numPr>
      </w:pPr>
      <w:r>
        <w:t>Future Topics and emerging issues</w:t>
      </w:r>
      <w:r w:rsidR="00ED02F4">
        <w:t xml:space="preserve"> – Dean</w:t>
      </w:r>
    </w:p>
    <w:p w:rsidR="00ED02F4" w:rsidRDefault="00ED02F4" w:rsidP="00ED02F4">
      <w:pPr>
        <w:ind w:left="720"/>
      </w:pPr>
      <w:r>
        <w:t>Instructional Units and how Student Grades are being used for that.  A proposal for using student grades to do this report was an agenda topic for the District Data Collection Group around a year ago.  NDE did implement that proposal and 37 districts were notified they had areas of noncompliance.  There is a CDC Instructional Units collection for those 37 districts.  The business rules for this process will be attached.  The process is very high level and Approval and Accreditation reviewed and edited the list in case districts with block scheduling were on it.  If you have any questions, contact Pam Tagart.</w:t>
      </w:r>
    </w:p>
    <w:p w:rsidR="0066415A" w:rsidRDefault="0066415A" w:rsidP="003A21B8">
      <w:pPr>
        <w:pStyle w:val="ListParagraph"/>
        <w:numPr>
          <w:ilvl w:val="0"/>
          <w:numId w:val="1"/>
        </w:numPr>
      </w:pPr>
      <w:r>
        <w:t>Other items</w:t>
      </w:r>
    </w:p>
    <w:p w:rsidR="00C33EC2" w:rsidRDefault="009853E6" w:rsidP="003A21B8">
      <w:pPr>
        <w:pStyle w:val="ListParagraph"/>
        <w:numPr>
          <w:ilvl w:val="0"/>
          <w:numId w:val="1"/>
        </w:numPr>
      </w:pPr>
      <w:r>
        <w:t>Next meeting</w:t>
      </w:r>
      <w:r w:rsidR="00D754D2">
        <w:t xml:space="preserve"> </w:t>
      </w:r>
      <w:r w:rsidR="00667842">
        <w:t>9/3/2014</w:t>
      </w:r>
      <w:r w:rsidR="0066415A">
        <w:t xml:space="preserve"> </w:t>
      </w:r>
    </w:p>
    <w:p w:rsidR="003E6F43" w:rsidRDefault="006433DE">
      <w:r>
        <w:t>Ple</w:t>
      </w:r>
      <w:r w:rsidR="00E5289D">
        <w:t>ase forward any comments, ideas and</w:t>
      </w:r>
      <w:r>
        <w:t xml:space="preserve"> concerns to </w:t>
      </w:r>
      <w:hyperlink r:id="rId7" w:history="1">
        <w:r w:rsidR="00C71759" w:rsidRPr="005E03AD">
          <w:rPr>
            <w:rStyle w:val="Hyperlink"/>
          </w:rPr>
          <w:t>Dean.Folkers@nebraska.gov</w:t>
        </w:r>
      </w:hyperlink>
      <w:r w:rsidR="00C71759">
        <w:t xml:space="preserve"> </w:t>
      </w:r>
      <w:r>
        <w:t xml:space="preserve"> 402-471-4740 or </w:t>
      </w:r>
      <w:hyperlink r:id="rId8" w:history="1">
        <w:r w:rsidRPr="00C13DCF">
          <w:rPr>
            <w:rStyle w:val="Hyperlink"/>
          </w:rPr>
          <w:t>Pam.Tagart@nebraska.gov</w:t>
        </w:r>
      </w:hyperlink>
      <w:r>
        <w:t>, 402-471-4735.</w:t>
      </w:r>
    </w:p>
    <w:p w:rsidR="007A6F44" w:rsidRDefault="007A6F44"/>
    <w:p w:rsidR="007A6F44" w:rsidRDefault="007A6F44"/>
    <w:sectPr w:rsidR="007A6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7C8"/>
    <w:multiLevelType w:val="hybridMultilevel"/>
    <w:tmpl w:val="440E507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48DB2AE3"/>
    <w:multiLevelType w:val="hybridMultilevel"/>
    <w:tmpl w:val="12580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61025295"/>
    <w:multiLevelType w:val="hybridMultilevel"/>
    <w:tmpl w:val="ABF66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617F"/>
    <w:multiLevelType w:val="hybridMultilevel"/>
    <w:tmpl w:val="36EE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B8"/>
    <w:rsid w:val="00036832"/>
    <w:rsid w:val="000F206F"/>
    <w:rsid w:val="000F7CA6"/>
    <w:rsid w:val="00147D8C"/>
    <w:rsid w:val="001500D4"/>
    <w:rsid w:val="001735D2"/>
    <w:rsid w:val="00180D7B"/>
    <w:rsid w:val="00192841"/>
    <w:rsid w:val="001C035E"/>
    <w:rsid w:val="0027652C"/>
    <w:rsid w:val="0029755C"/>
    <w:rsid w:val="002C7A16"/>
    <w:rsid w:val="002F41DA"/>
    <w:rsid w:val="0030166A"/>
    <w:rsid w:val="00343092"/>
    <w:rsid w:val="003A21B8"/>
    <w:rsid w:val="003E62B4"/>
    <w:rsid w:val="003E6F43"/>
    <w:rsid w:val="003F0154"/>
    <w:rsid w:val="00416CE1"/>
    <w:rsid w:val="00433E2B"/>
    <w:rsid w:val="00460F49"/>
    <w:rsid w:val="004A66BE"/>
    <w:rsid w:val="004B5CB8"/>
    <w:rsid w:val="004D4159"/>
    <w:rsid w:val="005914AC"/>
    <w:rsid w:val="00593902"/>
    <w:rsid w:val="005B6812"/>
    <w:rsid w:val="005C68E8"/>
    <w:rsid w:val="005C793B"/>
    <w:rsid w:val="006001B7"/>
    <w:rsid w:val="0060426E"/>
    <w:rsid w:val="00612AAA"/>
    <w:rsid w:val="0062592F"/>
    <w:rsid w:val="006433DE"/>
    <w:rsid w:val="00655478"/>
    <w:rsid w:val="0066415A"/>
    <w:rsid w:val="00667842"/>
    <w:rsid w:val="00670538"/>
    <w:rsid w:val="006803B8"/>
    <w:rsid w:val="006F51C6"/>
    <w:rsid w:val="00701226"/>
    <w:rsid w:val="00771926"/>
    <w:rsid w:val="007A6F44"/>
    <w:rsid w:val="007C3654"/>
    <w:rsid w:val="007F39BB"/>
    <w:rsid w:val="00800EA8"/>
    <w:rsid w:val="00802C46"/>
    <w:rsid w:val="008223EA"/>
    <w:rsid w:val="00823DA2"/>
    <w:rsid w:val="00851AF4"/>
    <w:rsid w:val="009056DC"/>
    <w:rsid w:val="009716CC"/>
    <w:rsid w:val="009853E6"/>
    <w:rsid w:val="00997A95"/>
    <w:rsid w:val="009E06DF"/>
    <w:rsid w:val="00A5203F"/>
    <w:rsid w:val="00A54ED4"/>
    <w:rsid w:val="00A6713D"/>
    <w:rsid w:val="00AB5B2A"/>
    <w:rsid w:val="00AC46FE"/>
    <w:rsid w:val="00AF4EC0"/>
    <w:rsid w:val="00B03083"/>
    <w:rsid w:val="00B748BF"/>
    <w:rsid w:val="00B76716"/>
    <w:rsid w:val="00BB5E36"/>
    <w:rsid w:val="00C276D5"/>
    <w:rsid w:val="00C33EC2"/>
    <w:rsid w:val="00C71759"/>
    <w:rsid w:val="00CB4B60"/>
    <w:rsid w:val="00CD1CF4"/>
    <w:rsid w:val="00D02F39"/>
    <w:rsid w:val="00D12917"/>
    <w:rsid w:val="00D51331"/>
    <w:rsid w:val="00D754D2"/>
    <w:rsid w:val="00D95C7A"/>
    <w:rsid w:val="00E0560E"/>
    <w:rsid w:val="00E065DB"/>
    <w:rsid w:val="00E07859"/>
    <w:rsid w:val="00E5289D"/>
    <w:rsid w:val="00ED02F4"/>
    <w:rsid w:val="00ED5797"/>
    <w:rsid w:val="00F2220E"/>
    <w:rsid w:val="00F71836"/>
    <w:rsid w:val="00F9489E"/>
    <w:rsid w:val="00FB0C23"/>
    <w:rsid w:val="00FB7952"/>
    <w:rsid w:val="00FF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492">
      <w:bodyDiv w:val="1"/>
      <w:marLeft w:val="0"/>
      <w:marRight w:val="0"/>
      <w:marTop w:val="0"/>
      <w:marBottom w:val="0"/>
      <w:divBdr>
        <w:top w:val="none" w:sz="0" w:space="0" w:color="auto"/>
        <w:left w:val="none" w:sz="0" w:space="0" w:color="auto"/>
        <w:bottom w:val="none" w:sz="0" w:space="0" w:color="auto"/>
        <w:right w:val="none" w:sz="0" w:space="0" w:color="auto"/>
      </w:divBdr>
    </w:div>
    <w:div w:id="451676353">
      <w:bodyDiv w:val="1"/>
      <w:marLeft w:val="0"/>
      <w:marRight w:val="0"/>
      <w:marTop w:val="0"/>
      <w:marBottom w:val="0"/>
      <w:divBdr>
        <w:top w:val="none" w:sz="0" w:space="0" w:color="auto"/>
        <w:left w:val="none" w:sz="0" w:space="0" w:color="auto"/>
        <w:bottom w:val="none" w:sz="0" w:space="0" w:color="auto"/>
        <w:right w:val="none" w:sz="0" w:space="0" w:color="auto"/>
      </w:divBdr>
      <w:divsChild>
        <w:div w:id="683434922">
          <w:marLeft w:val="270"/>
          <w:marRight w:val="0"/>
          <w:marTop w:val="0"/>
          <w:marBottom w:val="0"/>
          <w:divBdr>
            <w:top w:val="none" w:sz="0" w:space="0" w:color="auto"/>
            <w:left w:val="none" w:sz="0" w:space="0" w:color="auto"/>
            <w:bottom w:val="none" w:sz="0" w:space="0" w:color="auto"/>
            <w:right w:val="none" w:sz="0" w:space="0" w:color="auto"/>
          </w:divBdr>
          <w:divsChild>
            <w:div w:id="1280182010">
              <w:marLeft w:val="0"/>
              <w:marRight w:val="0"/>
              <w:marTop w:val="0"/>
              <w:marBottom w:val="150"/>
              <w:divBdr>
                <w:top w:val="single" w:sz="2" w:space="0" w:color="A7ACB1"/>
                <w:left w:val="single" w:sz="2" w:space="0" w:color="A7ACB1"/>
                <w:bottom w:val="single" w:sz="2" w:space="0" w:color="A7ACB1"/>
                <w:right w:val="single" w:sz="2" w:space="0" w:color="A7ACB1"/>
              </w:divBdr>
              <w:divsChild>
                <w:div w:id="1376807327">
                  <w:marLeft w:val="0"/>
                  <w:marRight w:val="0"/>
                  <w:marTop w:val="0"/>
                  <w:marBottom w:val="0"/>
                  <w:divBdr>
                    <w:top w:val="single" w:sz="6" w:space="0" w:color="999999"/>
                    <w:left w:val="single" w:sz="6" w:space="3" w:color="999999"/>
                    <w:bottom w:val="single" w:sz="6" w:space="0" w:color="E4E4E4"/>
                    <w:right w:val="single" w:sz="6" w:space="0" w:color="E4E4E4"/>
                  </w:divBdr>
                </w:div>
              </w:divsChild>
            </w:div>
          </w:divsChild>
        </w:div>
      </w:divsChild>
    </w:div>
    <w:div w:id="918056485">
      <w:bodyDiv w:val="1"/>
      <w:marLeft w:val="0"/>
      <w:marRight w:val="0"/>
      <w:marTop w:val="0"/>
      <w:marBottom w:val="0"/>
      <w:divBdr>
        <w:top w:val="none" w:sz="0" w:space="0" w:color="auto"/>
        <w:left w:val="none" w:sz="0" w:space="0" w:color="auto"/>
        <w:bottom w:val="none" w:sz="0" w:space="0" w:color="auto"/>
        <w:right w:val="none" w:sz="0" w:space="0" w:color="auto"/>
      </w:divBdr>
    </w:div>
    <w:div w:id="939948698">
      <w:bodyDiv w:val="1"/>
      <w:marLeft w:val="0"/>
      <w:marRight w:val="0"/>
      <w:marTop w:val="0"/>
      <w:marBottom w:val="0"/>
      <w:divBdr>
        <w:top w:val="none" w:sz="0" w:space="0" w:color="auto"/>
        <w:left w:val="none" w:sz="0" w:space="0" w:color="auto"/>
        <w:bottom w:val="none" w:sz="0" w:space="0" w:color="auto"/>
        <w:right w:val="none" w:sz="0" w:space="0" w:color="auto"/>
      </w:divBdr>
    </w:div>
    <w:div w:id="1142848507">
      <w:bodyDiv w:val="1"/>
      <w:marLeft w:val="0"/>
      <w:marRight w:val="0"/>
      <w:marTop w:val="0"/>
      <w:marBottom w:val="0"/>
      <w:divBdr>
        <w:top w:val="none" w:sz="0" w:space="0" w:color="auto"/>
        <w:left w:val="none" w:sz="0" w:space="0" w:color="auto"/>
        <w:bottom w:val="none" w:sz="0" w:space="0" w:color="auto"/>
        <w:right w:val="none" w:sz="0" w:space="0" w:color="auto"/>
      </w:divBdr>
    </w:div>
    <w:div w:id="16274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Tagart@nebraska.gov" TargetMode="External"/><Relationship Id="rId3" Type="http://schemas.microsoft.com/office/2007/relationships/stylesWithEffects" Target="stylesWithEffects.xml"/><Relationship Id="rId7" Type="http://schemas.openxmlformats.org/officeDocument/2006/relationships/hyperlink" Target="mailto:Dean.Folkers@nebr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ed.gov/policy/elsec/guid/hsgrguidance.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47E19536</Template>
  <TotalTime>0</TotalTime>
  <Pages>2</Pages>
  <Words>722</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Nebraska Dept. of Education</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PamTagart</dc:creator>
  <cp:lastModifiedBy>vgreen</cp:lastModifiedBy>
  <cp:revision>2</cp:revision>
  <cp:lastPrinted>2014-03-04T21:21:00Z</cp:lastPrinted>
  <dcterms:created xsi:type="dcterms:W3CDTF">2015-07-31T18:17:00Z</dcterms:created>
  <dcterms:modified xsi:type="dcterms:W3CDTF">2015-07-31T18:17:00Z</dcterms:modified>
</cp:coreProperties>
</file>