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59" w:rsidRPr="007A6359" w:rsidRDefault="007A6359">
      <w:pPr>
        <w:rPr>
          <w:rFonts w:asciiTheme="minorHAnsi" w:hAnsiTheme="minorHAnsi" w:cstheme="minorHAnsi"/>
          <w:b/>
          <w:color w:val="FF0000"/>
        </w:rPr>
      </w:pPr>
      <w:bookmarkStart w:id="0" w:name="_GoBack"/>
      <w:bookmarkEnd w:id="0"/>
      <w:r w:rsidRPr="007A6359">
        <w:rPr>
          <w:rFonts w:asciiTheme="minorHAnsi" w:hAnsiTheme="minorHAnsi" w:cstheme="minorHAnsi"/>
          <w:b/>
          <w:color w:val="FF0000"/>
        </w:rPr>
        <w:t>Click in the white spaces to enter your information.</w:t>
      </w:r>
    </w:p>
    <w:tbl>
      <w:tblPr>
        <w:tblW w:w="13230" w:type="dxa"/>
        <w:tblInd w:w="-216" w:type="dxa"/>
        <w:tblLayout w:type="fixed"/>
        <w:tblCellMar>
          <w:left w:w="54" w:type="dxa"/>
          <w:right w:w="54" w:type="dxa"/>
        </w:tblCellMar>
        <w:tblLook w:val="0000" w:firstRow="0" w:lastRow="0" w:firstColumn="0" w:lastColumn="0" w:noHBand="0" w:noVBand="0"/>
      </w:tblPr>
      <w:tblGrid>
        <w:gridCol w:w="4860"/>
        <w:gridCol w:w="360"/>
        <w:gridCol w:w="450"/>
        <w:gridCol w:w="180"/>
        <w:gridCol w:w="360"/>
        <w:gridCol w:w="1440"/>
        <w:gridCol w:w="720"/>
        <w:gridCol w:w="4860"/>
      </w:tblGrid>
      <w:tr w:rsidR="0077408D" w:rsidRPr="0077408D" w:rsidTr="007A6359">
        <w:trPr>
          <w:trHeight w:val="65"/>
        </w:trPr>
        <w:tc>
          <w:tcPr>
            <w:tcW w:w="4860" w:type="dxa"/>
            <w:tcBorders>
              <w:top w:val="single" w:sz="6" w:space="0" w:color="000000"/>
              <w:left w:val="single" w:sz="6" w:space="0" w:color="000000"/>
              <w:bottom w:val="single" w:sz="6" w:space="0" w:color="B6DDE8" w:themeColor="accent5" w:themeTint="66"/>
              <w:right w:val="single" w:sz="6" w:space="0" w:color="B6DDE8" w:themeColor="accent5" w:themeTint="66"/>
            </w:tcBorders>
            <w:shd w:val="clear" w:color="auto" w:fill="B6DDE8" w:themeFill="accent5" w:themeFillTint="66"/>
            <w:vAlign w:val="center"/>
          </w:tcPr>
          <w:p w:rsidR="0077408D" w:rsidRPr="0077408D" w:rsidRDefault="0077408D" w:rsidP="00DB3CC8">
            <w:pPr>
              <w:spacing w:after="0"/>
              <w:jc w:val="right"/>
              <w:rPr>
                <w:rFonts w:asciiTheme="minorHAnsi" w:hAnsiTheme="minorHAnsi" w:cstheme="minorHAnsi"/>
                <w:b/>
                <w:bCs/>
                <w:sz w:val="22"/>
              </w:rPr>
            </w:pPr>
            <w:r w:rsidRPr="0077408D">
              <w:rPr>
                <w:rFonts w:asciiTheme="minorHAnsi" w:hAnsiTheme="minorHAnsi" w:cstheme="minorHAnsi"/>
                <w:b/>
                <w:bCs/>
                <w:sz w:val="22"/>
              </w:rPr>
              <w:t>Academic Year 20</w:t>
            </w:r>
          </w:p>
        </w:tc>
        <w:tc>
          <w:tcPr>
            <w:tcW w:w="360" w:type="dxa"/>
            <w:tcBorders>
              <w:top w:val="single" w:sz="6" w:space="0" w:color="auto"/>
              <w:left w:val="single" w:sz="6" w:space="0" w:color="B6DDE8" w:themeColor="accent5" w:themeTint="66"/>
              <w:bottom w:val="single" w:sz="6" w:space="0" w:color="B6DDE8" w:themeColor="accent5" w:themeTint="66"/>
              <w:right w:val="single" w:sz="6" w:space="0" w:color="B6DDE8" w:themeColor="accent5" w:themeTint="66"/>
            </w:tcBorders>
            <w:shd w:val="clear" w:color="auto" w:fill="auto"/>
            <w:vAlign w:val="center"/>
          </w:tcPr>
          <w:p w:rsidR="0077408D" w:rsidRPr="0077408D" w:rsidRDefault="0077408D" w:rsidP="0077408D">
            <w:pPr>
              <w:spacing w:after="0"/>
              <w:ind w:left="-54"/>
              <w:rPr>
                <w:rFonts w:asciiTheme="minorHAnsi" w:hAnsiTheme="minorHAnsi" w:cstheme="minorHAnsi"/>
                <w:b/>
                <w:bCs/>
                <w:sz w:val="22"/>
              </w:rPr>
            </w:pPr>
          </w:p>
        </w:tc>
        <w:tc>
          <w:tcPr>
            <w:tcW w:w="630" w:type="dxa"/>
            <w:gridSpan w:val="2"/>
            <w:tcBorders>
              <w:top w:val="single" w:sz="6" w:space="0" w:color="000000"/>
              <w:left w:val="single" w:sz="6" w:space="0" w:color="B6DDE8" w:themeColor="accent5" w:themeTint="66"/>
              <w:bottom w:val="single" w:sz="6" w:space="0" w:color="B6DDE8" w:themeColor="accent5" w:themeTint="66"/>
              <w:right w:val="single" w:sz="6" w:space="0" w:color="B6DDE8" w:themeColor="accent5" w:themeTint="66"/>
            </w:tcBorders>
            <w:shd w:val="clear" w:color="auto" w:fill="B6DDE8" w:themeFill="accent5" w:themeFillTint="66"/>
            <w:vAlign w:val="center"/>
          </w:tcPr>
          <w:p w:rsidR="0077408D" w:rsidRPr="0077408D" w:rsidRDefault="0077408D" w:rsidP="00DB3CC8">
            <w:pPr>
              <w:spacing w:after="0"/>
              <w:rPr>
                <w:rFonts w:asciiTheme="minorHAnsi" w:hAnsiTheme="minorHAnsi" w:cstheme="minorHAnsi"/>
                <w:b/>
                <w:bCs/>
                <w:sz w:val="22"/>
              </w:rPr>
            </w:pPr>
            <w:r w:rsidRPr="0077408D">
              <w:rPr>
                <w:rFonts w:asciiTheme="minorHAnsi" w:hAnsiTheme="minorHAnsi" w:cstheme="minorHAnsi"/>
                <w:b/>
                <w:bCs/>
                <w:sz w:val="22"/>
              </w:rPr>
              <w:t>-  20</w:t>
            </w:r>
          </w:p>
        </w:tc>
        <w:tc>
          <w:tcPr>
            <w:tcW w:w="360" w:type="dxa"/>
            <w:tcBorders>
              <w:top w:val="single" w:sz="6" w:space="0" w:color="000000"/>
              <w:left w:val="single" w:sz="6" w:space="0" w:color="B6DDE8" w:themeColor="accent5" w:themeTint="66"/>
              <w:bottom w:val="single" w:sz="6" w:space="0" w:color="B6DDE8" w:themeColor="accent5" w:themeTint="66"/>
              <w:right w:val="single" w:sz="6" w:space="0" w:color="B6DDE8" w:themeColor="accent5" w:themeTint="66"/>
            </w:tcBorders>
            <w:shd w:val="clear" w:color="auto" w:fill="auto"/>
            <w:vAlign w:val="center"/>
          </w:tcPr>
          <w:p w:rsidR="0077408D" w:rsidRPr="0077408D" w:rsidRDefault="0077408D" w:rsidP="0077408D">
            <w:pPr>
              <w:spacing w:after="0"/>
              <w:ind w:left="-54"/>
              <w:rPr>
                <w:rFonts w:asciiTheme="minorHAnsi" w:hAnsiTheme="minorHAnsi" w:cstheme="minorHAnsi"/>
                <w:b/>
                <w:bCs/>
                <w:sz w:val="22"/>
              </w:rPr>
            </w:pPr>
          </w:p>
        </w:tc>
        <w:tc>
          <w:tcPr>
            <w:tcW w:w="1440" w:type="dxa"/>
            <w:tcBorders>
              <w:top w:val="single" w:sz="6" w:space="0" w:color="000000"/>
              <w:left w:val="single" w:sz="6" w:space="0" w:color="B6DDE8" w:themeColor="accent5" w:themeTint="66"/>
              <w:bottom w:val="single" w:sz="6" w:space="0" w:color="B6DDE8" w:themeColor="accent5" w:themeTint="66"/>
              <w:right w:val="single" w:sz="6" w:space="0" w:color="B6DDE8" w:themeColor="accent5" w:themeTint="66"/>
            </w:tcBorders>
            <w:shd w:val="clear" w:color="auto" w:fill="B6DDE8" w:themeFill="accent5" w:themeFillTint="66"/>
            <w:vAlign w:val="center"/>
          </w:tcPr>
          <w:p w:rsidR="0077408D" w:rsidRPr="0077408D" w:rsidRDefault="0077408D" w:rsidP="00DB3CC8">
            <w:pPr>
              <w:spacing w:after="0"/>
              <w:rPr>
                <w:rFonts w:asciiTheme="minorHAnsi" w:hAnsiTheme="minorHAnsi" w:cstheme="minorHAnsi"/>
                <w:b/>
                <w:bCs/>
                <w:sz w:val="22"/>
              </w:rPr>
            </w:pPr>
            <w:r w:rsidRPr="0077408D">
              <w:rPr>
                <w:rFonts w:asciiTheme="minorHAnsi" w:hAnsiTheme="minorHAnsi" w:cstheme="minorHAnsi"/>
                <w:b/>
                <w:bCs/>
                <w:sz w:val="22"/>
              </w:rPr>
              <w:t xml:space="preserve">Completers = </w:t>
            </w:r>
          </w:p>
        </w:tc>
        <w:tc>
          <w:tcPr>
            <w:tcW w:w="720" w:type="dxa"/>
            <w:tcBorders>
              <w:top w:val="single" w:sz="6" w:space="0" w:color="000000"/>
              <w:left w:val="single" w:sz="6" w:space="0" w:color="B6DDE8" w:themeColor="accent5" w:themeTint="66"/>
              <w:bottom w:val="single" w:sz="6" w:space="0" w:color="B6DDE8" w:themeColor="accent5" w:themeTint="66"/>
              <w:right w:val="single" w:sz="6" w:space="0" w:color="B6DDE8" w:themeColor="accent5" w:themeTint="66"/>
            </w:tcBorders>
            <w:shd w:val="clear" w:color="auto" w:fill="auto"/>
            <w:vAlign w:val="center"/>
          </w:tcPr>
          <w:p w:rsidR="0077408D" w:rsidRPr="0077408D" w:rsidRDefault="0077408D" w:rsidP="00DB3CC8">
            <w:pPr>
              <w:spacing w:after="0"/>
              <w:rPr>
                <w:rFonts w:asciiTheme="minorHAnsi" w:hAnsiTheme="minorHAnsi" w:cstheme="minorHAnsi"/>
                <w:b/>
                <w:bCs/>
                <w:sz w:val="22"/>
              </w:rPr>
            </w:pPr>
            <w:r w:rsidRPr="0077408D">
              <w:rPr>
                <w:rFonts w:asciiTheme="minorHAnsi" w:hAnsiTheme="minorHAnsi" w:cstheme="minorHAnsi"/>
                <w:b/>
                <w:bCs/>
                <w:sz w:val="22"/>
              </w:rPr>
              <w:t>N?</w:t>
            </w:r>
          </w:p>
        </w:tc>
        <w:tc>
          <w:tcPr>
            <w:tcW w:w="4860" w:type="dxa"/>
            <w:tcBorders>
              <w:top w:val="single" w:sz="6" w:space="0" w:color="000000"/>
              <w:left w:val="single" w:sz="6" w:space="0" w:color="B6DDE8" w:themeColor="accent5" w:themeTint="66"/>
              <w:bottom w:val="single" w:sz="6" w:space="0" w:color="B6DDE8" w:themeColor="accent5" w:themeTint="66"/>
              <w:right w:val="single" w:sz="6" w:space="0" w:color="000000"/>
            </w:tcBorders>
            <w:shd w:val="clear" w:color="auto" w:fill="B6DDE8" w:themeFill="accent5" w:themeFillTint="66"/>
            <w:vAlign w:val="center"/>
          </w:tcPr>
          <w:p w:rsidR="0077408D" w:rsidRPr="0077408D" w:rsidRDefault="0077408D" w:rsidP="00DB3CC8">
            <w:pPr>
              <w:spacing w:after="0"/>
              <w:rPr>
                <w:rFonts w:asciiTheme="minorHAnsi" w:hAnsiTheme="minorHAnsi" w:cstheme="minorHAnsi"/>
                <w:b/>
                <w:bCs/>
                <w:sz w:val="22"/>
              </w:rPr>
            </w:pPr>
          </w:p>
        </w:tc>
      </w:tr>
      <w:tr w:rsidR="0077408D" w:rsidRPr="0077408D" w:rsidTr="007A6359">
        <w:trPr>
          <w:trHeight w:val="65"/>
        </w:trPr>
        <w:tc>
          <w:tcPr>
            <w:tcW w:w="4860" w:type="dxa"/>
            <w:tcBorders>
              <w:top w:val="single" w:sz="6" w:space="0" w:color="B6DDE8" w:themeColor="accent5" w:themeTint="66"/>
              <w:left w:val="single" w:sz="6" w:space="0" w:color="000000"/>
              <w:right w:val="single" w:sz="6" w:space="0" w:color="B6DDE8" w:themeColor="accent5" w:themeTint="66"/>
            </w:tcBorders>
            <w:shd w:val="clear" w:color="auto" w:fill="B6DDE8" w:themeFill="accent5" w:themeFillTint="66"/>
            <w:vAlign w:val="center"/>
          </w:tcPr>
          <w:p w:rsidR="0077408D" w:rsidRPr="0077408D" w:rsidRDefault="0077408D" w:rsidP="00DB3CC8">
            <w:pPr>
              <w:spacing w:after="0"/>
              <w:jc w:val="right"/>
              <w:rPr>
                <w:rFonts w:asciiTheme="minorHAnsi" w:hAnsiTheme="minorHAnsi" w:cstheme="minorHAnsi"/>
                <w:b/>
                <w:bCs/>
                <w:sz w:val="22"/>
              </w:rPr>
            </w:pPr>
            <w:r w:rsidRPr="0077408D">
              <w:rPr>
                <w:rFonts w:asciiTheme="minorHAnsi" w:hAnsiTheme="minorHAnsi" w:cstheme="minorHAnsi"/>
                <w:b/>
                <w:bCs/>
                <w:sz w:val="22"/>
              </w:rPr>
              <w:t>Academic Year 20</w:t>
            </w:r>
          </w:p>
        </w:tc>
        <w:tc>
          <w:tcPr>
            <w:tcW w:w="360" w:type="dxa"/>
            <w:tcBorders>
              <w:top w:val="single" w:sz="6" w:space="0" w:color="B6DDE8" w:themeColor="accent5" w:themeTint="66"/>
              <w:left w:val="single" w:sz="6" w:space="0" w:color="B6DDE8" w:themeColor="accent5" w:themeTint="66"/>
              <w:bottom w:val="single" w:sz="6" w:space="0" w:color="000000"/>
              <w:right w:val="single" w:sz="6" w:space="0" w:color="B6DDE8" w:themeColor="accent5" w:themeTint="66"/>
            </w:tcBorders>
            <w:shd w:val="clear" w:color="auto" w:fill="auto"/>
            <w:vAlign w:val="center"/>
          </w:tcPr>
          <w:p w:rsidR="0077408D" w:rsidRPr="0077408D" w:rsidRDefault="0077408D" w:rsidP="0077408D">
            <w:pPr>
              <w:spacing w:after="0"/>
              <w:ind w:left="-54"/>
              <w:rPr>
                <w:rFonts w:asciiTheme="minorHAnsi" w:hAnsiTheme="minorHAnsi" w:cstheme="minorHAnsi"/>
                <w:b/>
                <w:bCs/>
                <w:sz w:val="22"/>
              </w:rPr>
            </w:pPr>
          </w:p>
        </w:tc>
        <w:tc>
          <w:tcPr>
            <w:tcW w:w="630" w:type="dxa"/>
            <w:gridSpan w:val="2"/>
            <w:tcBorders>
              <w:top w:val="single" w:sz="6" w:space="0" w:color="B6DDE8" w:themeColor="accent5" w:themeTint="66"/>
              <w:left w:val="single" w:sz="6" w:space="0" w:color="B6DDE8" w:themeColor="accent5" w:themeTint="66"/>
              <w:right w:val="single" w:sz="6" w:space="0" w:color="B6DDE8" w:themeColor="accent5" w:themeTint="66"/>
            </w:tcBorders>
            <w:shd w:val="clear" w:color="auto" w:fill="B6DDE8" w:themeFill="accent5" w:themeFillTint="66"/>
            <w:vAlign w:val="center"/>
          </w:tcPr>
          <w:p w:rsidR="0077408D" w:rsidRPr="0077408D" w:rsidRDefault="0077408D" w:rsidP="00DB3CC8">
            <w:pPr>
              <w:spacing w:after="0"/>
              <w:rPr>
                <w:rFonts w:asciiTheme="minorHAnsi" w:hAnsiTheme="minorHAnsi" w:cstheme="minorHAnsi"/>
                <w:b/>
                <w:bCs/>
                <w:sz w:val="22"/>
              </w:rPr>
            </w:pPr>
            <w:r w:rsidRPr="0077408D">
              <w:rPr>
                <w:rFonts w:asciiTheme="minorHAnsi" w:hAnsiTheme="minorHAnsi" w:cstheme="minorHAnsi"/>
                <w:b/>
                <w:bCs/>
                <w:sz w:val="22"/>
              </w:rPr>
              <w:t>-  20</w:t>
            </w:r>
          </w:p>
        </w:tc>
        <w:tc>
          <w:tcPr>
            <w:tcW w:w="360" w:type="dxa"/>
            <w:tcBorders>
              <w:top w:val="single" w:sz="6" w:space="0" w:color="B6DDE8" w:themeColor="accent5" w:themeTint="66"/>
              <w:left w:val="single" w:sz="6" w:space="0" w:color="B6DDE8" w:themeColor="accent5" w:themeTint="66"/>
              <w:bottom w:val="single" w:sz="6" w:space="0" w:color="000000"/>
              <w:right w:val="single" w:sz="6" w:space="0" w:color="B6DDE8" w:themeColor="accent5" w:themeTint="66"/>
            </w:tcBorders>
            <w:shd w:val="clear" w:color="auto" w:fill="auto"/>
            <w:vAlign w:val="center"/>
          </w:tcPr>
          <w:p w:rsidR="0077408D" w:rsidRPr="0077408D" w:rsidRDefault="0077408D" w:rsidP="0077408D">
            <w:pPr>
              <w:spacing w:after="0"/>
              <w:ind w:left="-54"/>
              <w:rPr>
                <w:rFonts w:asciiTheme="minorHAnsi" w:hAnsiTheme="minorHAnsi" w:cstheme="minorHAnsi"/>
                <w:b/>
                <w:bCs/>
                <w:sz w:val="22"/>
              </w:rPr>
            </w:pPr>
          </w:p>
        </w:tc>
        <w:tc>
          <w:tcPr>
            <w:tcW w:w="1440" w:type="dxa"/>
            <w:tcBorders>
              <w:top w:val="single" w:sz="6" w:space="0" w:color="B6DDE8" w:themeColor="accent5" w:themeTint="66"/>
              <w:left w:val="single" w:sz="6" w:space="0" w:color="B6DDE8" w:themeColor="accent5" w:themeTint="66"/>
              <w:right w:val="single" w:sz="6" w:space="0" w:color="B6DDE8" w:themeColor="accent5" w:themeTint="66"/>
            </w:tcBorders>
            <w:shd w:val="clear" w:color="auto" w:fill="B6DDE8" w:themeFill="accent5" w:themeFillTint="66"/>
            <w:vAlign w:val="center"/>
          </w:tcPr>
          <w:p w:rsidR="0077408D" w:rsidRPr="0077408D" w:rsidRDefault="0077408D" w:rsidP="00DB3CC8">
            <w:pPr>
              <w:spacing w:after="0"/>
              <w:rPr>
                <w:rFonts w:asciiTheme="minorHAnsi" w:hAnsiTheme="minorHAnsi" w:cstheme="minorHAnsi"/>
                <w:b/>
                <w:bCs/>
                <w:sz w:val="22"/>
              </w:rPr>
            </w:pPr>
            <w:r w:rsidRPr="0077408D">
              <w:rPr>
                <w:rFonts w:asciiTheme="minorHAnsi" w:hAnsiTheme="minorHAnsi" w:cstheme="minorHAnsi"/>
                <w:b/>
                <w:bCs/>
                <w:sz w:val="22"/>
              </w:rPr>
              <w:t xml:space="preserve">Completers = </w:t>
            </w:r>
          </w:p>
        </w:tc>
        <w:tc>
          <w:tcPr>
            <w:tcW w:w="720" w:type="dxa"/>
            <w:tcBorders>
              <w:top w:val="single" w:sz="6" w:space="0" w:color="B6DDE8" w:themeColor="accent5" w:themeTint="66"/>
              <w:left w:val="single" w:sz="6" w:space="0" w:color="B6DDE8" w:themeColor="accent5" w:themeTint="66"/>
              <w:right w:val="single" w:sz="6" w:space="0" w:color="B6DDE8" w:themeColor="accent5" w:themeTint="66"/>
            </w:tcBorders>
            <w:shd w:val="clear" w:color="auto" w:fill="auto"/>
            <w:vAlign w:val="center"/>
          </w:tcPr>
          <w:p w:rsidR="0077408D" w:rsidRPr="0077408D" w:rsidRDefault="0077408D" w:rsidP="00DB3CC8">
            <w:pPr>
              <w:spacing w:after="0"/>
              <w:rPr>
                <w:rFonts w:asciiTheme="minorHAnsi" w:hAnsiTheme="minorHAnsi" w:cstheme="minorHAnsi"/>
                <w:b/>
                <w:bCs/>
                <w:sz w:val="22"/>
              </w:rPr>
            </w:pPr>
            <w:r w:rsidRPr="0077408D">
              <w:rPr>
                <w:rFonts w:asciiTheme="minorHAnsi" w:hAnsiTheme="minorHAnsi" w:cstheme="minorHAnsi"/>
                <w:b/>
                <w:bCs/>
                <w:sz w:val="22"/>
              </w:rPr>
              <w:t>N?</w:t>
            </w:r>
          </w:p>
        </w:tc>
        <w:tc>
          <w:tcPr>
            <w:tcW w:w="4860" w:type="dxa"/>
            <w:tcBorders>
              <w:top w:val="single" w:sz="6" w:space="0" w:color="B6DDE8" w:themeColor="accent5" w:themeTint="66"/>
              <w:left w:val="single" w:sz="6" w:space="0" w:color="B6DDE8" w:themeColor="accent5" w:themeTint="66"/>
              <w:right w:val="single" w:sz="6" w:space="0" w:color="000000"/>
            </w:tcBorders>
            <w:shd w:val="clear" w:color="auto" w:fill="B6DDE8" w:themeFill="accent5" w:themeFillTint="66"/>
            <w:vAlign w:val="center"/>
          </w:tcPr>
          <w:p w:rsidR="0077408D" w:rsidRPr="0077408D" w:rsidRDefault="0077408D" w:rsidP="00DB3CC8">
            <w:pPr>
              <w:spacing w:after="0"/>
              <w:rPr>
                <w:rFonts w:asciiTheme="minorHAnsi" w:hAnsiTheme="minorHAnsi" w:cstheme="minorHAnsi"/>
                <w:b/>
                <w:bCs/>
                <w:sz w:val="22"/>
              </w:rPr>
            </w:pPr>
          </w:p>
        </w:tc>
      </w:tr>
      <w:tr w:rsidR="000C4477" w:rsidRPr="0077408D" w:rsidTr="007A6359">
        <w:trPr>
          <w:trHeight w:val="138"/>
        </w:trPr>
        <w:tc>
          <w:tcPr>
            <w:tcW w:w="5670" w:type="dxa"/>
            <w:gridSpan w:val="3"/>
            <w:tcBorders>
              <w:top w:val="single" w:sz="6" w:space="0" w:color="000000"/>
              <w:left w:val="single" w:sz="6" w:space="0" w:color="000000"/>
              <w:right w:val="single" w:sz="6" w:space="0" w:color="000000"/>
            </w:tcBorders>
            <w:shd w:val="clear" w:color="auto" w:fill="B6DDE8" w:themeFill="accent5" w:themeFillTint="66"/>
            <w:vAlign w:val="bottom"/>
          </w:tcPr>
          <w:p w:rsidR="000C4477" w:rsidRPr="0077408D" w:rsidRDefault="000C4477" w:rsidP="00DB3CC8">
            <w:pPr>
              <w:spacing w:after="0"/>
              <w:rPr>
                <w:rFonts w:asciiTheme="minorHAnsi" w:hAnsiTheme="minorHAnsi" w:cstheme="minorHAnsi"/>
                <w:b/>
                <w:bCs/>
                <w:sz w:val="22"/>
              </w:rPr>
            </w:pPr>
            <w:r w:rsidRPr="0077408D">
              <w:rPr>
                <w:rFonts w:asciiTheme="minorHAnsi" w:hAnsiTheme="minorHAnsi" w:cstheme="minorHAnsi"/>
                <w:b/>
                <w:bCs/>
                <w:sz w:val="22"/>
              </w:rPr>
              <w:t>Professional Competencies</w:t>
            </w:r>
          </w:p>
        </w:tc>
        <w:tc>
          <w:tcPr>
            <w:tcW w:w="7560" w:type="dxa"/>
            <w:gridSpan w:val="5"/>
            <w:tcBorders>
              <w:top w:val="single" w:sz="6" w:space="0" w:color="000000"/>
              <w:left w:val="single" w:sz="6" w:space="0" w:color="000000"/>
              <w:right w:val="single" w:sz="6" w:space="0" w:color="000000"/>
            </w:tcBorders>
            <w:shd w:val="clear" w:color="auto" w:fill="B6DDE8" w:themeFill="accent5" w:themeFillTint="66"/>
            <w:vAlign w:val="bottom"/>
          </w:tcPr>
          <w:p w:rsidR="000C4477" w:rsidRPr="0077408D" w:rsidRDefault="000C4477" w:rsidP="00DB3CC8">
            <w:pPr>
              <w:spacing w:after="0"/>
              <w:rPr>
                <w:rFonts w:asciiTheme="minorHAnsi" w:hAnsiTheme="minorHAnsi" w:cstheme="minorHAnsi"/>
                <w:b/>
                <w:bCs/>
                <w:sz w:val="22"/>
              </w:rPr>
            </w:pPr>
          </w:p>
        </w:tc>
      </w:tr>
      <w:tr w:rsidR="00E9638C"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EBF6F9"/>
            <w:vAlign w:val="bottom"/>
          </w:tcPr>
          <w:p w:rsidR="00E9638C" w:rsidRPr="0077408D" w:rsidRDefault="00E9638C" w:rsidP="00DB3CC8">
            <w:pPr>
              <w:spacing w:before="120" w:after="0"/>
              <w:ind w:left="396"/>
              <w:rPr>
                <w:rFonts w:asciiTheme="minorHAnsi" w:hAnsiTheme="minorHAnsi" w:cstheme="minorHAnsi"/>
                <w:sz w:val="22"/>
              </w:rPr>
            </w:pPr>
            <w:r w:rsidRPr="0077408D">
              <w:rPr>
                <w:rFonts w:asciiTheme="minorHAnsi" w:hAnsiTheme="minorHAnsi" w:cstheme="minorHAnsi"/>
                <w:sz w:val="22"/>
              </w:rPr>
              <w:t xml:space="preserve">Provide a summarized narrative discussing how the unit is assured all candidates meet </w:t>
            </w:r>
            <w:r>
              <w:rPr>
                <w:rFonts w:asciiTheme="minorHAnsi" w:hAnsiTheme="minorHAnsi" w:cstheme="minorHAnsi"/>
                <w:sz w:val="22"/>
              </w:rPr>
              <w:t xml:space="preserve">each </w:t>
            </w:r>
            <w:r w:rsidRPr="00E9638C">
              <w:rPr>
                <w:rFonts w:asciiTheme="minorHAnsi" w:hAnsiTheme="minorHAnsi" w:cstheme="minorHAnsi"/>
                <w:sz w:val="22"/>
              </w:rPr>
              <w:t xml:space="preserve">professional competency in 005.02A – 005.02L.  </w:t>
            </w:r>
            <w:r w:rsidRPr="0077408D">
              <w:rPr>
                <w:rFonts w:asciiTheme="minorHAnsi" w:hAnsiTheme="minorHAnsi" w:cstheme="minorHAnsi"/>
                <w:sz w:val="22"/>
              </w:rPr>
              <w:t>Narrative to include information such as:</w:t>
            </w:r>
          </w:p>
          <w:p w:rsidR="00E9638C" w:rsidRPr="0077408D" w:rsidRDefault="00E9638C" w:rsidP="00DB3CC8">
            <w:pPr>
              <w:pStyle w:val="ListParagraph"/>
              <w:numPr>
                <w:ilvl w:val="0"/>
                <w:numId w:val="1"/>
              </w:numPr>
              <w:spacing w:after="0"/>
              <w:ind w:left="1116" w:hanging="306"/>
              <w:rPr>
                <w:rFonts w:asciiTheme="minorHAnsi" w:hAnsiTheme="minorHAnsi" w:cstheme="minorHAnsi"/>
                <w:sz w:val="22"/>
              </w:rPr>
            </w:pPr>
            <w:r w:rsidRPr="0077408D">
              <w:rPr>
                <w:rFonts w:asciiTheme="minorHAnsi" w:hAnsiTheme="minorHAnsi" w:cstheme="minorHAnsi"/>
                <w:sz w:val="22"/>
              </w:rPr>
              <w:t>Example assessments used by the unit to measure this competency,</w:t>
            </w:r>
          </w:p>
          <w:p w:rsidR="00E9638C" w:rsidRPr="0077408D" w:rsidRDefault="00E9638C" w:rsidP="00DB3CC8">
            <w:pPr>
              <w:pStyle w:val="ListParagraph"/>
              <w:numPr>
                <w:ilvl w:val="0"/>
                <w:numId w:val="1"/>
              </w:numPr>
              <w:spacing w:after="0"/>
              <w:ind w:left="1116" w:hanging="306"/>
              <w:rPr>
                <w:rFonts w:asciiTheme="minorHAnsi" w:hAnsiTheme="minorHAnsi" w:cstheme="minorHAnsi"/>
                <w:sz w:val="22"/>
              </w:rPr>
            </w:pPr>
            <w:r w:rsidRPr="0077408D">
              <w:rPr>
                <w:rFonts w:asciiTheme="minorHAnsi" w:hAnsiTheme="minorHAnsi" w:cstheme="minorHAnsi"/>
                <w:sz w:val="22"/>
              </w:rPr>
              <w:t>General statements indicating what the data evidence indicates at the unit level and noteworthy differences in endorsement programs (if any),</w:t>
            </w:r>
          </w:p>
          <w:p w:rsidR="00E9638C" w:rsidRPr="0077408D" w:rsidRDefault="00E9638C" w:rsidP="00DB3CC8">
            <w:pPr>
              <w:pStyle w:val="ListParagraph"/>
              <w:numPr>
                <w:ilvl w:val="0"/>
                <w:numId w:val="1"/>
              </w:numPr>
              <w:spacing w:after="0"/>
              <w:ind w:left="1116" w:hanging="306"/>
              <w:rPr>
                <w:rFonts w:asciiTheme="minorHAnsi" w:hAnsiTheme="minorHAnsi" w:cstheme="minorHAnsi"/>
                <w:sz w:val="22"/>
              </w:rPr>
            </w:pPr>
            <w:r w:rsidRPr="0077408D">
              <w:rPr>
                <w:rFonts w:asciiTheme="minorHAnsi" w:hAnsiTheme="minorHAnsi" w:cstheme="minorHAnsi"/>
                <w:sz w:val="22"/>
              </w:rPr>
              <w:t>Changes made or being considered for the endorsement program(s) and/or unit level as a result of evidence.</w:t>
            </w:r>
          </w:p>
          <w:p w:rsidR="00E9638C" w:rsidRPr="0077408D" w:rsidRDefault="00E9638C" w:rsidP="00DB3CC8">
            <w:pPr>
              <w:spacing w:after="0"/>
              <w:ind w:left="396"/>
              <w:rPr>
                <w:rFonts w:asciiTheme="minorHAnsi" w:hAnsiTheme="minorHAnsi" w:cstheme="minorHAnsi"/>
                <w:b/>
                <w:bCs/>
                <w:sz w:val="22"/>
              </w:rPr>
            </w:pPr>
            <w:r w:rsidRPr="0077408D">
              <w:rPr>
                <w:rFonts w:asciiTheme="minorHAnsi" w:hAnsiTheme="minorHAnsi" w:cstheme="minorHAnsi"/>
                <w:sz w:val="22"/>
              </w:rPr>
              <w:t>Limit response to no more than one page</w:t>
            </w:r>
            <w:r>
              <w:rPr>
                <w:rFonts w:asciiTheme="minorHAnsi" w:hAnsiTheme="minorHAnsi" w:cstheme="minorHAnsi"/>
                <w:sz w:val="22"/>
              </w:rPr>
              <w:t xml:space="preserve"> for each professional competency area.</w:t>
            </w: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DAEEF3" w:themeFill="accent5" w:themeFillTint="33"/>
          </w:tcPr>
          <w:p w:rsidR="00DB3CC8" w:rsidRPr="0077408D" w:rsidRDefault="00DB3CC8" w:rsidP="00BB0944">
            <w:pPr>
              <w:keepNext/>
              <w:spacing w:after="0"/>
              <w:rPr>
                <w:rFonts w:asciiTheme="minorHAnsi" w:hAnsiTheme="minorHAnsi" w:cstheme="minorHAnsi"/>
                <w:sz w:val="22"/>
              </w:rPr>
            </w:pPr>
            <w:r w:rsidRPr="0077408D">
              <w:rPr>
                <w:rFonts w:asciiTheme="minorHAnsi" w:hAnsiTheme="minorHAnsi" w:cstheme="minorHAnsi"/>
                <w:sz w:val="22"/>
                <w:u w:val="single"/>
              </w:rPr>
              <w:t>005.02A Student Development</w:t>
            </w:r>
            <w:r w:rsidRPr="0077408D">
              <w:rPr>
                <w:rFonts w:asciiTheme="minorHAnsi" w:hAnsiTheme="minorHAnsi" w:cstheme="minorHAnsi"/>
                <w:sz w:val="22"/>
              </w:rPr>
              <w:t>.  The candidate understands how students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DB3CC8" w:rsidRPr="0077408D" w:rsidRDefault="00DB3CC8" w:rsidP="00BB0944">
            <w:pPr>
              <w:pStyle w:val="ListParagraph"/>
              <w:keepNext/>
              <w:spacing w:after="0"/>
              <w:ind w:left="36"/>
              <w:rPr>
                <w:rFonts w:asciiTheme="minorHAnsi" w:hAnsiTheme="minorHAnsi" w:cstheme="minorHAnsi"/>
                <w:sz w:val="22"/>
              </w:rPr>
            </w:pPr>
            <w:r w:rsidRPr="0077408D">
              <w:rPr>
                <w:rFonts w:asciiTheme="minorHAnsi" w:hAnsiTheme="minorHAnsi" w:cstheme="minorHAnsi"/>
                <w:sz w:val="22"/>
                <w:u w:val="single"/>
              </w:rPr>
              <w:t>005.02B Learning Differences</w:t>
            </w:r>
            <w:r w:rsidRPr="0077408D">
              <w:rPr>
                <w:rFonts w:asciiTheme="minorHAnsi" w:hAnsiTheme="minorHAnsi" w:cstheme="minorHAnsi"/>
                <w:sz w:val="22"/>
              </w:rPr>
              <w:t>.  The candidate uses understanding of individual differences and diverse cultures and communities to ensure inclusive learning environments that enable each student to meet high standards.</w:t>
            </w:r>
          </w:p>
        </w:tc>
      </w:tr>
      <w:tr w:rsidR="00DB3CC8" w:rsidRPr="0077408D" w:rsidTr="007A6359">
        <w:trPr>
          <w:trHeight w:val="360"/>
        </w:trPr>
        <w:tc>
          <w:tcPr>
            <w:tcW w:w="13230" w:type="dxa"/>
            <w:gridSpan w:val="8"/>
            <w:tcBorders>
              <w:top w:val="single" w:sz="6" w:space="0" w:color="000000"/>
              <w:left w:val="single" w:sz="6" w:space="0" w:color="000000"/>
              <w:bottom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bottom w:val="single" w:sz="4" w:space="0" w:color="auto"/>
              <w:right w:val="single" w:sz="6" w:space="0" w:color="000000"/>
            </w:tcBorders>
            <w:shd w:val="clear" w:color="auto" w:fill="DAEEF3" w:themeFill="accent5" w:themeFillTint="33"/>
          </w:tcPr>
          <w:p w:rsidR="00DB3CC8" w:rsidRPr="0077408D" w:rsidRDefault="00DB3CC8" w:rsidP="00BB0944">
            <w:pPr>
              <w:pStyle w:val="ListParagraph"/>
              <w:keepNext/>
              <w:spacing w:after="0"/>
              <w:ind w:left="36"/>
              <w:rPr>
                <w:rFonts w:asciiTheme="minorHAnsi" w:hAnsiTheme="minorHAnsi" w:cstheme="minorHAnsi"/>
                <w:sz w:val="22"/>
              </w:rPr>
            </w:pPr>
            <w:r w:rsidRPr="0077408D">
              <w:rPr>
                <w:rFonts w:asciiTheme="minorHAnsi" w:hAnsiTheme="minorHAnsi" w:cstheme="minorHAnsi"/>
                <w:sz w:val="22"/>
                <w:u w:val="single"/>
              </w:rPr>
              <w:t>005.02C Learning Environments</w:t>
            </w:r>
            <w:r w:rsidRPr="0077408D">
              <w:rPr>
                <w:rFonts w:asciiTheme="minorHAnsi" w:hAnsiTheme="minorHAnsi" w:cstheme="minorHAnsi"/>
                <w:sz w:val="22"/>
              </w:rPr>
              <w:t>.  The candidate works with others to create environments that support individual and collaborative learning, and that encourage positive social interaction, active engagement in learning, and self-motivation.</w:t>
            </w:r>
          </w:p>
        </w:tc>
      </w:tr>
      <w:tr w:rsidR="00DB3CC8" w:rsidRPr="0077408D" w:rsidTr="007A6359">
        <w:trPr>
          <w:trHeight w:val="360"/>
        </w:trPr>
        <w:tc>
          <w:tcPr>
            <w:tcW w:w="13230" w:type="dxa"/>
            <w:gridSpan w:val="8"/>
            <w:tcBorders>
              <w:top w:val="single" w:sz="6" w:space="0" w:color="000000"/>
              <w:left w:val="single" w:sz="6" w:space="0" w:color="000000"/>
              <w:bottom w:val="single" w:sz="4" w:space="0" w:color="auto"/>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4" w:space="0" w:color="auto"/>
              <w:left w:val="single" w:sz="6" w:space="0" w:color="000000"/>
              <w:bottom w:val="single" w:sz="6" w:space="0" w:color="000000"/>
              <w:right w:val="single" w:sz="6" w:space="0" w:color="000000"/>
            </w:tcBorders>
            <w:shd w:val="clear" w:color="auto" w:fill="DAEEF3" w:themeFill="accent5" w:themeFillTint="33"/>
          </w:tcPr>
          <w:p w:rsidR="00DB3CC8" w:rsidRPr="0077408D" w:rsidRDefault="00DB3CC8" w:rsidP="00BB0944">
            <w:pPr>
              <w:pStyle w:val="ListParagraph"/>
              <w:keepNext/>
              <w:spacing w:after="0"/>
              <w:ind w:left="36"/>
              <w:rPr>
                <w:rFonts w:asciiTheme="minorHAnsi" w:hAnsiTheme="minorHAnsi" w:cstheme="minorHAnsi"/>
                <w:sz w:val="22"/>
              </w:rPr>
            </w:pPr>
            <w:r w:rsidRPr="0077408D">
              <w:rPr>
                <w:rFonts w:asciiTheme="minorHAnsi" w:hAnsiTheme="minorHAnsi" w:cstheme="minorHAnsi"/>
                <w:sz w:val="22"/>
                <w:u w:val="single"/>
              </w:rPr>
              <w:t>005.02D Content Knowledge</w:t>
            </w:r>
            <w:r w:rsidRPr="0077408D">
              <w:rPr>
                <w:rFonts w:asciiTheme="minorHAnsi" w:hAnsiTheme="minorHAnsi" w:cstheme="minorHAnsi"/>
                <w:sz w:val="22"/>
              </w:rPr>
              <w:t>.  The candidate understands the central concepts, tools of inquiry, and structures of the discipline(s) he or she teaches and creates learning experiences that make these aspects of the discipline accessible and meaningful for students to assure mastery of the content including the ability to integrate the Nebraska Content Standards (92 NAC 10 Appendices A-D) into instruction.</w:t>
            </w:r>
          </w:p>
        </w:tc>
      </w:tr>
      <w:tr w:rsidR="00DB3CC8" w:rsidRPr="0077408D" w:rsidTr="007A6359">
        <w:trPr>
          <w:trHeight w:val="360"/>
        </w:trPr>
        <w:tc>
          <w:tcPr>
            <w:tcW w:w="13230" w:type="dxa"/>
            <w:gridSpan w:val="8"/>
            <w:tcBorders>
              <w:top w:val="single" w:sz="4" w:space="0" w:color="auto"/>
              <w:left w:val="single" w:sz="6" w:space="0" w:color="000000"/>
              <w:bottom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bottom w:val="single" w:sz="4" w:space="0" w:color="auto"/>
              <w:right w:val="single" w:sz="6" w:space="0" w:color="000000"/>
            </w:tcBorders>
            <w:shd w:val="clear" w:color="auto" w:fill="DAEEF3" w:themeFill="accent5" w:themeFillTint="33"/>
          </w:tcPr>
          <w:p w:rsidR="00DB3CC8" w:rsidRPr="0077408D" w:rsidRDefault="00DB3CC8" w:rsidP="00BB0944">
            <w:pPr>
              <w:pStyle w:val="ListParagraph"/>
              <w:keepNext/>
              <w:spacing w:after="0"/>
              <w:ind w:left="36"/>
              <w:rPr>
                <w:rFonts w:asciiTheme="minorHAnsi" w:hAnsiTheme="minorHAnsi" w:cstheme="minorHAnsi"/>
                <w:sz w:val="22"/>
              </w:rPr>
            </w:pPr>
            <w:r w:rsidRPr="0077408D">
              <w:rPr>
                <w:rFonts w:asciiTheme="minorHAnsi" w:hAnsiTheme="minorHAnsi" w:cstheme="minorHAnsi"/>
                <w:sz w:val="22"/>
                <w:u w:val="single"/>
              </w:rPr>
              <w:t>005.02E Application of Content</w:t>
            </w:r>
            <w:r w:rsidRPr="0077408D">
              <w:rPr>
                <w:rFonts w:asciiTheme="minorHAnsi" w:hAnsiTheme="minorHAnsi" w:cstheme="minorHAnsi"/>
                <w:sz w:val="22"/>
              </w:rPr>
              <w:t>.  The candidate understands how to connect concepts and use differing perspectives to engage students in critical thinking, creativity, and collaborative problem solving related to authentic local and global issues.</w:t>
            </w:r>
          </w:p>
        </w:tc>
      </w:tr>
      <w:tr w:rsidR="00DB3CC8" w:rsidRPr="0077408D" w:rsidTr="007A6359">
        <w:trPr>
          <w:trHeight w:val="360"/>
        </w:trPr>
        <w:tc>
          <w:tcPr>
            <w:tcW w:w="13230" w:type="dxa"/>
            <w:gridSpan w:val="8"/>
            <w:tcBorders>
              <w:top w:val="single" w:sz="6" w:space="0" w:color="000000"/>
              <w:left w:val="single" w:sz="6" w:space="0" w:color="000000"/>
              <w:bottom w:val="single" w:sz="4" w:space="0" w:color="auto"/>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4" w:space="0" w:color="auto"/>
              <w:left w:val="single" w:sz="6" w:space="0" w:color="000000"/>
              <w:right w:val="single" w:sz="6" w:space="0" w:color="000000"/>
            </w:tcBorders>
            <w:shd w:val="clear" w:color="auto" w:fill="DAEEF3" w:themeFill="accent5" w:themeFillTint="33"/>
          </w:tcPr>
          <w:p w:rsidR="00DB3CC8" w:rsidRPr="0077408D" w:rsidRDefault="00DB3CC8" w:rsidP="00BB0944">
            <w:pPr>
              <w:pStyle w:val="ListParagraph"/>
              <w:keepNext/>
              <w:spacing w:after="0"/>
              <w:ind w:left="36"/>
              <w:rPr>
                <w:rFonts w:asciiTheme="minorHAnsi" w:hAnsiTheme="minorHAnsi" w:cstheme="minorHAnsi"/>
                <w:sz w:val="22"/>
              </w:rPr>
            </w:pPr>
            <w:r w:rsidRPr="0077408D">
              <w:rPr>
                <w:rFonts w:asciiTheme="minorHAnsi" w:hAnsiTheme="minorHAnsi" w:cstheme="minorHAnsi"/>
                <w:sz w:val="22"/>
                <w:u w:val="single"/>
              </w:rPr>
              <w:lastRenderedPageBreak/>
              <w:t>005.02F Assessment</w:t>
            </w:r>
            <w:r w:rsidRPr="0077408D">
              <w:rPr>
                <w:rFonts w:asciiTheme="minorHAnsi" w:hAnsiTheme="minorHAnsi" w:cstheme="minorHAnsi"/>
                <w:sz w:val="22"/>
              </w:rPr>
              <w:t>.  The candidate understands and uses multiple methods of assessment to engage students in their own growth, to monitor student progress, and to guide the candidate’s and student’s decision making.</w:t>
            </w:r>
          </w:p>
        </w:tc>
      </w:tr>
      <w:tr w:rsidR="00DB3CC8" w:rsidRPr="0077408D" w:rsidTr="007A6359">
        <w:trPr>
          <w:trHeight w:val="360"/>
        </w:trPr>
        <w:tc>
          <w:tcPr>
            <w:tcW w:w="13230" w:type="dxa"/>
            <w:gridSpan w:val="8"/>
            <w:tcBorders>
              <w:top w:val="single" w:sz="4" w:space="0" w:color="auto"/>
              <w:left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DAEEF3" w:themeFill="accent5" w:themeFillTint="33"/>
          </w:tcPr>
          <w:p w:rsidR="00DB3CC8" w:rsidRPr="0077408D" w:rsidRDefault="00DB3CC8" w:rsidP="00BB0944">
            <w:pPr>
              <w:pStyle w:val="ListParagraph"/>
              <w:keepNext/>
              <w:spacing w:after="0"/>
              <w:ind w:left="0"/>
              <w:rPr>
                <w:rFonts w:asciiTheme="minorHAnsi" w:hAnsiTheme="minorHAnsi" w:cstheme="minorHAnsi"/>
                <w:sz w:val="22"/>
              </w:rPr>
            </w:pPr>
            <w:r w:rsidRPr="0077408D">
              <w:rPr>
                <w:rFonts w:asciiTheme="minorHAnsi" w:hAnsiTheme="minorHAnsi" w:cstheme="minorHAnsi"/>
                <w:sz w:val="22"/>
                <w:u w:val="single"/>
              </w:rPr>
              <w:t>005.02G Planning for Instruction</w:t>
            </w:r>
            <w:r w:rsidRPr="0077408D">
              <w:rPr>
                <w:rFonts w:asciiTheme="minorHAnsi" w:hAnsiTheme="minorHAnsi" w:cstheme="minorHAnsi"/>
                <w:sz w:val="22"/>
              </w:rPr>
              <w:t>.  The candidate plans instruction that supports every student in meeting rigorous learning goals by drawing upon knowledge of content areas, curriculum, cross-disciplinary skills, technology, and pedagogy, as well as knowledge of the student and the community context.</w:t>
            </w: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DAEEF3" w:themeFill="accent5" w:themeFillTint="33"/>
          </w:tcPr>
          <w:p w:rsidR="00DB3CC8" w:rsidRPr="0077408D" w:rsidRDefault="00DB3CC8" w:rsidP="00BB0944">
            <w:pPr>
              <w:pStyle w:val="ListParagraph"/>
              <w:keepNext/>
              <w:spacing w:after="0"/>
              <w:ind w:left="36"/>
              <w:rPr>
                <w:rFonts w:asciiTheme="minorHAnsi" w:hAnsiTheme="minorHAnsi" w:cstheme="minorHAnsi"/>
                <w:sz w:val="22"/>
              </w:rPr>
            </w:pPr>
            <w:r w:rsidRPr="0077408D">
              <w:rPr>
                <w:rFonts w:asciiTheme="minorHAnsi" w:hAnsiTheme="minorHAnsi" w:cstheme="minorHAnsi"/>
                <w:sz w:val="22"/>
                <w:u w:val="single"/>
              </w:rPr>
              <w:t>005.02H Instructional Strategies</w:t>
            </w:r>
            <w:r w:rsidRPr="0077408D">
              <w:rPr>
                <w:rFonts w:asciiTheme="minorHAnsi" w:hAnsiTheme="minorHAnsi" w:cstheme="minorHAnsi"/>
                <w:sz w:val="22"/>
              </w:rPr>
              <w:t>.  The candidate understands and uses a variety of instructional strategies to encourage students to develop deep understanding of content areas and their connections, build reading and writing skills, and to apply knowledge in meaningful ways.  This includes developing competency for utilizing technology for instruction, assessment, and communication.</w:t>
            </w: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DAEEF3" w:themeFill="accent5" w:themeFillTint="33"/>
          </w:tcPr>
          <w:p w:rsidR="00DB3CC8" w:rsidRPr="0077408D" w:rsidRDefault="00DB3CC8" w:rsidP="00BB0944">
            <w:pPr>
              <w:pStyle w:val="ListParagraph"/>
              <w:keepNext/>
              <w:spacing w:after="0"/>
              <w:ind w:left="36"/>
              <w:rPr>
                <w:rFonts w:asciiTheme="minorHAnsi" w:hAnsiTheme="minorHAnsi" w:cstheme="minorHAnsi"/>
                <w:sz w:val="22"/>
              </w:rPr>
            </w:pPr>
            <w:r w:rsidRPr="0077408D">
              <w:rPr>
                <w:rFonts w:asciiTheme="minorHAnsi" w:hAnsiTheme="minorHAnsi" w:cstheme="minorHAnsi"/>
                <w:sz w:val="22"/>
                <w:u w:val="single"/>
              </w:rPr>
              <w:t>005.02I Professional Learning and Ethical Practice</w:t>
            </w:r>
            <w:r w:rsidRPr="0077408D">
              <w:rPr>
                <w:rFonts w:asciiTheme="minorHAnsi" w:hAnsiTheme="minorHAnsi" w:cstheme="minorHAnsi"/>
                <w:sz w:val="22"/>
              </w:rPr>
              <w:t xml:space="preserve">.  The candidate engages in ongoing professional learning, models ethical professional practice, and uses evidence to continually evaluate his/her practice, particularly the effects of his/her choices and actions on others (students, families, other professionals, and the community), and adapts practice to meet the needs of each student. </w:t>
            </w: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DAEEF3" w:themeFill="accent5" w:themeFillTint="33"/>
          </w:tcPr>
          <w:p w:rsidR="00DB3CC8" w:rsidRPr="0077408D" w:rsidRDefault="00DB3CC8" w:rsidP="00BB0944">
            <w:pPr>
              <w:pStyle w:val="ListParagraph"/>
              <w:keepNext/>
              <w:spacing w:after="0"/>
              <w:ind w:left="0" w:firstLine="36"/>
              <w:rPr>
                <w:rFonts w:asciiTheme="minorHAnsi" w:hAnsiTheme="minorHAnsi" w:cstheme="minorHAnsi"/>
                <w:sz w:val="22"/>
              </w:rPr>
            </w:pPr>
            <w:r w:rsidRPr="0077408D">
              <w:rPr>
                <w:rFonts w:asciiTheme="minorHAnsi" w:hAnsiTheme="minorHAnsi" w:cstheme="minorHAnsi"/>
                <w:sz w:val="22"/>
                <w:u w:val="single"/>
              </w:rPr>
              <w:t>005.02J Leadership and Collaboration</w:t>
            </w:r>
            <w:r w:rsidRPr="0077408D">
              <w:rPr>
                <w:rFonts w:asciiTheme="minorHAnsi" w:hAnsiTheme="minorHAnsi" w:cstheme="minorHAnsi"/>
                <w:sz w:val="22"/>
              </w:rPr>
              <w:t>.  The candidate seeks opportunities to take responsibility for student learning, to collaborate with students, families, colleagues, other school professionals, and community members to ensure student growth, and to advance the profession.</w:t>
            </w:r>
          </w:p>
        </w:tc>
      </w:tr>
      <w:tr w:rsidR="00DB3CC8" w:rsidRPr="0077408D" w:rsidTr="007A6359">
        <w:trPr>
          <w:trHeight w:val="360"/>
        </w:trPr>
        <w:tc>
          <w:tcPr>
            <w:tcW w:w="13230" w:type="dxa"/>
            <w:gridSpan w:val="8"/>
            <w:tcBorders>
              <w:top w:val="single" w:sz="6" w:space="0" w:color="000000"/>
              <w:left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DB3CC8" w:rsidRPr="0077408D" w:rsidRDefault="00DB3CC8" w:rsidP="00BB0944">
            <w:pPr>
              <w:keepNext/>
              <w:spacing w:after="0"/>
              <w:rPr>
                <w:rFonts w:asciiTheme="minorHAnsi" w:hAnsiTheme="minorHAnsi" w:cstheme="minorHAnsi"/>
                <w:sz w:val="22"/>
                <w:u w:val="single"/>
              </w:rPr>
            </w:pPr>
            <w:r w:rsidRPr="0077408D">
              <w:rPr>
                <w:rFonts w:asciiTheme="minorHAnsi" w:hAnsiTheme="minorHAnsi" w:cstheme="minorHAnsi"/>
                <w:sz w:val="22"/>
                <w:u w:val="single"/>
              </w:rPr>
              <w:t>005.02K Human Relations.</w:t>
            </w:r>
            <w:r w:rsidRPr="0077408D">
              <w:rPr>
                <w:rFonts w:asciiTheme="minorHAnsi" w:hAnsiTheme="minorHAnsi" w:cstheme="minorHAnsi"/>
                <w:sz w:val="22"/>
              </w:rPr>
              <w:t xml:space="preserve">  The institution shall offer training integrated into a required course or combination of required courses which shall be designed to lead to the following skills as enumerated in 79-807(6) R.R.S.:</w:t>
            </w:r>
            <w:r w:rsidRPr="0077408D">
              <w:rPr>
                <w:rFonts w:asciiTheme="minorHAnsi" w:hAnsiTheme="minorHAnsi" w:cstheme="minorHAnsi"/>
                <w:sz w:val="22"/>
                <w:u w:val="single"/>
              </w:rPr>
              <w:t xml:space="preserve"> </w:t>
            </w:r>
          </w:p>
          <w:p w:rsidR="00DB3CC8" w:rsidRPr="0077408D" w:rsidRDefault="00DB3CC8" w:rsidP="00BB0944">
            <w:pPr>
              <w:keepNext/>
              <w:spacing w:after="0"/>
              <w:ind w:left="306"/>
              <w:rPr>
                <w:rFonts w:asciiTheme="minorHAnsi" w:hAnsiTheme="minorHAnsi" w:cstheme="minorHAnsi"/>
                <w:sz w:val="22"/>
                <w:u w:val="single"/>
              </w:rPr>
            </w:pPr>
            <w:r w:rsidRPr="0077408D">
              <w:rPr>
                <w:rFonts w:asciiTheme="minorHAnsi" w:hAnsiTheme="minorHAnsi" w:cstheme="minorHAnsi"/>
                <w:sz w:val="22"/>
                <w:u w:val="single"/>
              </w:rPr>
              <w:t>005.02K1</w:t>
            </w:r>
            <w:r w:rsidRPr="0077408D">
              <w:rPr>
                <w:rFonts w:asciiTheme="minorHAnsi" w:hAnsiTheme="minorHAnsi" w:cstheme="minorHAnsi"/>
                <w:sz w:val="22"/>
              </w:rPr>
              <w:t xml:space="preserve"> An awareness and understanding of the values, lifestyles, contributions, and history of a pluralistic society;</w:t>
            </w:r>
            <w:r w:rsidRPr="0077408D">
              <w:rPr>
                <w:rFonts w:asciiTheme="minorHAnsi" w:hAnsiTheme="minorHAnsi" w:cstheme="minorHAnsi"/>
                <w:sz w:val="22"/>
                <w:u w:val="single"/>
              </w:rPr>
              <w:t xml:space="preserve"> </w:t>
            </w:r>
          </w:p>
          <w:p w:rsidR="00DB3CC8" w:rsidRPr="0077408D" w:rsidRDefault="00DB3CC8" w:rsidP="00BB0944">
            <w:pPr>
              <w:keepNext/>
              <w:spacing w:after="0"/>
              <w:ind w:left="306"/>
              <w:rPr>
                <w:rFonts w:asciiTheme="minorHAnsi" w:hAnsiTheme="minorHAnsi" w:cstheme="minorHAnsi"/>
                <w:sz w:val="22"/>
                <w:u w:val="single"/>
              </w:rPr>
            </w:pPr>
            <w:r w:rsidRPr="0077408D">
              <w:rPr>
                <w:rFonts w:asciiTheme="minorHAnsi" w:hAnsiTheme="minorHAnsi" w:cstheme="minorHAnsi"/>
                <w:sz w:val="22"/>
                <w:u w:val="single"/>
              </w:rPr>
              <w:t>005.02K2</w:t>
            </w:r>
            <w:r w:rsidRPr="0077408D">
              <w:rPr>
                <w:rFonts w:asciiTheme="minorHAnsi" w:hAnsiTheme="minorHAnsi" w:cstheme="minorHAnsi"/>
                <w:sz w:val="22"/>
              </w:rPr>
              <w:t xml:space="preserve"> The ability to recognize and deal with dehumanizing biases, including, but not limited to, sexism, racism, prejudice, and discrimination, and an awareness of the impact such biases have on interpersonal relations;</w:t>
            </w:r>
            <w:r w:rsidRPr="0077408D">
              <w:rPr>
                <w:rFonts w:asciiTheme="minorHAnsi" w:hAnsiTheme="minorHAnsi" w:cstheme="minorHAnsi"/>
                <w:sz w:val="22"/>
                <w:u w:val="single"/>
              </w:rPr>
              <w:t xml:space="preserve"> </w:t>
            </w:r>
          </w:p>
          <w:p w:rsidR="00DB3CC8" w:rsidRPr="0077408D" w:rsidRDefault="00DB3CC8" w:rsidP="00BB0944">
            <w:pPr>
              <w:keepNext/>
              <w:spacing w:after="0"/>
              <w:ind w:left="306"/>
              <w:rPr>
                <w:rFonts w:asciiTheme="minorHAnsi" w:hAnsiTheme="minorHAnsi" w:cstheme="minorHAnsi"/>
                <w:sz w:val="22"/>
                <w:u w:val="single"/>
              </w:rPr>
            </w:pPr>
            <w:r w:rsidRPr="0077408D">
              <w:rPr>
                <w:rFonts w:asciiTheme="minorHAnsi" w:hAnsiTheme="minorHAnsi" w:cstheme="minorHAnsi"/>
                <w:sz w:val="22"/>
                <w:u w:val="single"/>
              </w:rPr>
              <w:t>005.02K3</w:t>
            </w:r>
            <w:r w:rsidRPr="0077408D">
              <w:rPr>
                <w:rFonts w:asciiTheme="minorHAnsi" w:hAnsiTheme="minorHAnsi" w:cstheme="minorHAnsi"/>
                <w:sz w:val="22"/>
              </w:rPr>
              <w:t xml:space="preserve"> The ability to translate knowledge of human relations into attitudes, skills, and techniques which result in favorable experiences for students;</w:t>
            </w:r>
            <w:r w:rsidRPr="0077408D">
              <w:rPr>
                <w:rFonts w:asciiTheme="minorHAnsi" w:hAnsiTheme="minorHAnsi" w:cstheme="minorHAnsi"/>
                <w:sz w:val="22"/>
                <w:u w:val="single"/>
              </w:rPr>
              <w:t xml:space="preserve"> </w:t>
            </w:r>
          </w:p>
          <w:p w:rsidR="00DB3CC8" w:rsidRPr="0077408D" w:rsidRDefault="00DB3CC8" w:rsidP="00BB0944">
            <w:pPr>
              <w:keepNext/>
              <w:spacing w:after="0"/>
              <w:ind w:left="306"/>
              <w:rPr>
                <w:rFonts w:asciiTheme="minorHAnsi" w:hAnsiTheme="minorHAnsi" w:cstheme="minorHAnsi"/>
                <w:sz w:val="22"/>
                <w:u w:val="single"/>
              </w:rPr>
            </w:pPr>
            <w:r w:rsidRPr="0077408D">
              <w:rPr>
                <w:rFonts w:asciiTheme="minorHAnsi" w:hAnsiTheme="minorHAnsi" w:cstheme="minorHAnsi"/>
                <w:sz w:val="22"/>
                <w:u w:val="single"/>
              </w:rPr>
              <w:t>005.02K4</w:t>
            </w:r>
            <w:r w:rsidRPr="0077408D">
              <w:rPr>
                <w:rFonts w:asciiTheme="minorHAnsi" w:hAnsiTheme="minorHAnsi" w:cstheme="minorHAnsi"/>
                <w:sz w:val="22"/>
              </w:rPr>
              <w:t xml:space="preserve"> The ability to recognize the ways in which dehumanizing biases may be reflected in instructional materials;</w:t>
            </w:r>
            <w:r w:rsidRPr="0077408D">
              <w:rPr>
                <w:rFonts w:asciiTheme="minorHAnsi" w:hAnsiTheme="minorHAnsi" w:cstheme="minorHAnsi"/>
                <w:sz w:val="22"/>
                <w:u w:val="single"/>
              </w:rPr>
              <w:t xml:space="preserve"> </w:t>
            </w:r>
          </w:p>
          <w:p w:rsidR="00DB3CC8" w:rsidRPr="0077408D" w:rsidRDefault="00DB3CC8" w:rsidP="00BB0944">
            <w:pPr>
              <w:keepNext/>
              <w:spacing w:after="0"/>
              <w:ind w:left="306"/>
              <w:rPr>
                <w:rFonts w:asciiTheme="minorHAnsi" w:hAnsiTheme="minorHAnsi" w:cstheme="minorHAnsi"/>
                <w:sz w:val="22"/>
              </w:rPr>
            </w:pPr>
            <w:r w:rsidRPr="0077408D">
              <w:rPr>
                <w:rFonts w:asciiTheme="minorHAnsi" w:hAnsiTheme="minorHAnsi" w:cstheme="minorHAnsi"/>
                <w:sz w:val="22"/>
                <w:u w:val="single"/>
              </w:rPr>
              <w:t>005.02K5</w:t>
            </w:r>
            <w:r w:rsidRPr="0077408D">
              <w:rPr>
                <w:rFonts w:asciiTheme="minorHAnsi" w:hAnsiTheme="minorHAnsi" w:cstheme="minorHAnsi"/>
                <w:sz w:val="22"/>
              </w:rPr>
              <w:t xml:space="preserve"> Respect for human dignity and individual rights; and</w:t>
            </w:r>
          </w:p>
          <w:p w:rsidR="00DB3CC8" w:rsidRPr="0077408D" w:rsidRDefault="00DB3CC8" w:rsidP="00BB0944">
            <w:pPr>
              <w:pStyle w:val="ListParagraph"/>
              <w:keepNext/>
              <w:spacing w:after="0"/>
              <w:ind w:left="306"/>
              <w:rPr>
                <w:rFonts w:asciiTheme="minorHAnsi" w:hAnsiTheme="minorHAnsi" w:cstheme="minorHAnsi"/>
                <w:sz w:val="22"/>
              </w:rPr>
            </w:pPr>
            <w:r w:rsidRPr="0077408D">
              <w:rPr>
                <w:rFonts w:asciiTheme="minorHAnsi" w:hAnsiTheme="minorHAnsi" w:cstheme="minorHAnsi"/>
                <w:sz w:val="22"/>
                <w:u w:val="single"/>
              </w:rPr>
              <w:t>005.02K6</w:t>
            </w:r>
            <w:r w:rsidRPr="0077408D">
              <w:rPr>
                <w:rFonts w:asciiTheme="minorHAnsi" w:hAnsiTheme="minorHAnsi" w:cstheme="minorHAnsi"/>
                <w:sz w:val="22"/>
              </w:rPr>
              <w:t xml:space="preserve"> The ability to relate effectively to other individuals and to groups in a pluralistic society other than the applicant's own.</w:t>
            </w:r>
          </w:p>
        </w:tc>
      </w:tr>
      <w:tr w:rsidR="00DB3CC8" w:rsidRPr="0077408D" w:rsidTr="007A6359">
        <w:trPr>
          <w:trHeight w:val="360"/>
        </w:trPr>
        <w:tc>
          <w:tcPr>
            <w:tcW w:w="13230" w:type="dxa"/>
            <w:gridSpan w:val="8"/>
            <w:tcBorders>
              <w:top w:val="single" w:sz="6" w:space="0" w:color="000000"/>
              <w:left w:val="single" w:sz="6" w:space="0" w:color="000000"/>
              <w:bottom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r w:rsidR="00DB3CC8" w:rsidRPr="0077408D" w:rsidTr="007A6359">
        <w:trPr>
          <w:trHeight w:val="360"/>
        </w:trPr>
        <w:tc>
          <w:tcPr>
            <w:tcW w:w="1323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DB3CC8" w:rsidRPr="0077408D" w:rsidRDefault="00DB3CC8" w:rsidP="00BB0944">
            <w:pPr>
              <w:keepNext/>
              <w:spacing w:after="0"/>
              <w:rPr>
                <w:rFonts w:asciiTheme="minorHAnsi" w:hAnsiTheme="minorHAnsi" w:cstheme="minorHAnsi"/>
                <w:sz w:val="22"/>
              </w:rPr>
            </w:pPr>
            <w:r w:rsidRPr="0077408D">
              <w:rPr>
                <w:rFonts w:asciiTheme="minorHAnsi" w:hAnsiTheme="minorHAnsi" w:cstheme="minorHAnsi"/>
                <w:sz w:val="22"/>
                <w:u w:val="single"/>
              </w:rPr>
              <w:lastRenderedPageBreak/>
              <w:t>005.02L Special Education.</w:t>
            </w:r>
            <w:r w:rsidRPr="0077408D">
              <w:rPr>
                <w:rFonts w:asciiTheme="minorHAnsi" w:hAnsiTheme="minorHAnsi" w:cstheme="minorHAnsi"/>
                <w:sz w:val="22"/>
              </w:rPr>
              <w:t xml:space="preserve">  The institution will require  one or more courses which provide candidates with systematic and continuing opportunities to develop knowledge, skills, and professional dispositions for teaching students with disabilities including the areas enumerated by 79-807(7) R.R.S.: </w:t>
            </w:r>
          </w:p>
          <w:p w:rsidR="00DB3CC8" w:rsidRPr="0077408D" w:rsidRDefault="00DB3CC8" w:rsidP="00BB0944">
            <w:pPr>
              <w:keepNext/>
              <w:spacing w:after="0"/>
              <w:ind w:left="306"/>
              <w:rPr>
                <w:rFonts w:asciiTheme="minorHAnsi" w:hAnsiTheme="minorHAnsi" w:cstheme="minorHAnsi"/>
                <w:sz w:val="22"/>
                <w:u w:val="single"/>
              </w:rPr>
            </w:pPr>
            <w:r w:rsidRPr="0077408D">
              <w:rPr>
                <w:rFonts w:asciiTheme="minorHAnsi" w:hAnsiTheme="minorHAnsi" w:cstheme="minorHAnsi"/>
                <w:sz w:val="22"/>
                <w:u w:val="single"/>
              </w:rPr>
              <w:t>005.02L1</w:t>
            </w:r>
            <w:r w:rsidRPr="0077408D">
              <w:rPr>
                <w:rFonts w:asciiTheme="minorHAnsi" w:hAnsiTheme="minorHAnsi" w:cstheme="minorHAnsi"/>
                <w:sz w:val="22"/>
              </w:rPr>
              <w:t xml:space="preserve"> Knowledge of the exceptional educational needs of the disabilities defined by section 79</w:t>
            </w:r>
            <w:r w:rsidRPr="0077408D">
              <w:rPr>
                <w:rFonts w:asciiTheme="minorHAnsi" w:hAnsiTheme="minorHAnsi" w:cstheme="minorHAnsi"/>
                <w:sz w:val="22"/>
              </w:rPr>
              <w:noBreakHyphen/>
              <w:t>1118.01 R.R.S.;</w:t>
            </w:r>
            <w:r w:rsidRPr="0077408D">
              <w:rPr>
                <w:rFonts w:asciiTheme="minorHAnsi" w:hAnsiTheme="minorHAnsi" w:cstheme="minorHAnsi"/>
                <w:sz w:val="22"/>
                <w:u w:val="single"/>
              </w:rPr>
              <w:t xml:space="preserve"> </w:t>
            </w:r>
          </w:p>
          <w:p w:rsidR="00DB3CC8" w:rsidRPr="0077408D" w:rsidRDefault="00DB3CC8" w:rsidP="00BB0944">
            <w:pPr>
              <w:keepNext/>
              <w:spacing w:after="0"/>
              <w:ind w:left="306"/>
              <w:rPr>
                <w:rFonts w:asciiTheme="minorHAnsi" w:hAnsiTheme="minorHAnsi" w:cstheme="minorHAnsi"/>
                <w:sz w:val="22"/>
                <w:u w:val="single"/>
              </w:rPr>
            </w:pPr>
            <w:r w:rsidRPr="0077408D">
              <w:rPr>
                <w:rFonts w:asciiTheme="minorHAnsi" w:hAnsiTheme="minorHAnsi" w:cstheme="minorHAnsi"/>
                <w:sz w:val="22"/>
                <w:u w:val="single"/>
              </w:rPr>
              <w:t>005.02L2</w:t>
            </w:r>
            <w:r w:rsidRPr="0077408D">
              <w:rPr>
                <w:rFonts w:asciiTheme="minorHAnsi" w:hAnsiTheme="minorHAnsi" w:cstheme="minorHAnsi"/>
                <w:sz w:val="22"/>
              </w:rPr>
              <w:t xml:space="preserve"> Knowledge of the major characteristics of each disability </w:t>
            </w:r>
            <w:r w:rsidRPr="0077408D">
              <w:rPr>
                <w:rFonts w:asciiTheme="minorHAnsi" w:hAnsiTheme="minorHAnsi" w:cstheme="minorHAnsi"/>
                <w:iCs/>
                <w:sz w:val="22"/>
              </w:rPr>
              <w:t>defined by Section 79-1118.01 R.R.S.</w:t>
            </w:r>
            <w:r w:rsidRPr="0077408D">
              <w:rPr>
                <w:rFonts w:asciiTheme="minorHAnsi" w:hAnsiTheme="minorHAnsi" w:cstheme="minorHAnsi"/>
                <w:sz w:val="22"/>
              </w:rPr>
              <w:t xml:space="preserve"> in order to recognize its existence in children;</w:t>
            </w:r>
            <w:r w:rsidRPr="0077408D">
              <w:rPr>
                <w:rFonts w:asciiTheme="minorHAnsi" w:hAnsiTheme="minorHAnsi" w:cstheme="minorHAnsi"/>
                <w:sz w:val="22"/>
                <w:u w:val="single"/>
              </w:rPr>
              <w:t xml:space="preserve"> </w:t>
            </w:r>
          </w:p>
          <w:p w:rsidR="00DB3CC8" w:rsidRPr="0077408D" w:rsidRDefault="00DB3CC8" w:rsidP="00BB0944">
            <w:pPr>
              <w:keepNext/>
              <w:spacing w:after="0"/>
              <w:ind w:left="306"/>
              <w:rPr>
                <w:rFonts w:asciiTheme="minorHAnsi" w:hAnsiTheme="minorHAnsi" w:cstheme="minorHAnsi"/>
                <w:sz w:val="22"/>
                <w:u w:val="single"/>
              </w:rPr>
            </w:pPr>
            <w:r w:rsidRPr="0077408D">
              <w:rPr>
                <w:rFonts w:asciiTheme="minorHAnsi" w:hAnsiTheme="minorHAnsi" w:cstheme="minorHAnsi"/>
                <w:sz w:val="22"/>
                <w:u w:val="single"/>
              </w:rPr>
              <w:t>005.02L3</w:t>
            </w:r>
            <w:r w:rsidRPr="0077408D">
              <w:rPr>
                <w:rFonts w:asciiTheme="minorHAnsi" w:hAnsiTheme="minorHAnsi" w:cstheme="minorHAnsi"/>
                <w:sz w:val="22"/>
              </w:rPr>
              <w:t xml:space="preserve"> Knowledge of various alternatives for providing the least restrictive environment for children with disabilities;</w:t>
            </w:r>
            <w:r w:rsidRPr="0077408D">
              <w:rPr>
                <w:rFonts w:asciiTheme="minorHAnsi" w:hAnsiTheme="minorHAnsi" w:cstheme="minorHAnsi"/>
                <w:sz w:val="22"/>
                <w:u w:val="single"/>
              </w:rPr>
              <w:t xml:space="preserve"> </w:t>
            </w:r>
          </w:p>
          <w:p w:rsidR="00DB3CC8" w:rsidRPr="0077408D" w:rsidRDefault="00DB3CC8" w:rsidP="00BB0944">
            <w:pPr>
              <w:keepNext/>
              <w:spacing w:after="0"/>
              <w:ind w:left="306"/>
              <w:rPr>
                <w:rFonts w:asciiTheme="minorHAnsi" w:hAnsiTheme="minorHAnsi" w:cstheme="minorHAnsi"/>
                <w:sz w:val="22"/>
              </w:rPr>
            </w:pPr>
            <w:r w:rsidRPr="0077408D">
              <w:rPr>
                <w:rFonts w:asciiTheme="minorHAnsi" w:hAnsiTheme="minorHAnsi" w:cstheme="minorHAnsi"/>
                <w:sz w:val="22"/>
                <w:u w:val="single"/>
              </w:rPr>
              <w:t>005.02L4</w:t>
            </w:r>
            <w:r w:rsidRPr="0077408D">
              <w:rPr>
                <w:rFonts w:asciiTheme="minorHAnsi" w:hAnsiTheme="minorHAnsi" w:cstheme="minorHAnsi"/>
                <w:sz w:val="22"/>
              </w:rPr>
              <w:t xml:space="preserve"> Knowledge of methods of teaching children with disabilities in the regular classroom; and</w:t>
            </w:r>
          </w:p>
          <w:p w:rsidR="00DB3CC8" w:rsidRPr="0077408D" w:rsidRDefault="00DB3CC8" w:rsidP="00BB0944">
            <w:pPr>
              <w:pStyle w:val="ListParagraph"/>
              <w:keepNext/>
              <w:spacing w:after="0"/>
              <w:ind w:left="306"/>
              <w:rPr>
                <w:rFonts w:asciiTheme="minorHAnsi" w:hAnsiTheme="minorHAnsi" w:cstheme="minorHAnsi"/>
                <w:sz w:val="22"/>
              </w:rPr>
            </w:pPr>
            <w:r w:rsidRPr="0077408D">
              <w:rPr>
                <w:rFonts w:asciiTheme="minorHAnsi" w:hAnsiTheme="minorHAnsi" w:cstheme="minorHAnsi"/>
                <w:sz w:val="22"/>
                <w:u w:val="single"/>
              </w:rPr>
              <w:t>005.02L5</w:t>
            </w:r>
            <w:r w:rsidRPr="0077408D">
              <w:rPr>
                <w:rFonts w:asciiTheme="minorHAnsi" w:hAnsiTheme="minorHAnsi" w:cstheme="minorHAnsi"/>
                <w:sz w:val="22"/>
              </w:rPr>
              <w:t xml:space="preserve"> Knowledge of prereferral alternatives, referral systems, multidisciplinary team responsibilities, the individualized education plan process, and the placement process.</w:t>
            </w:r>
          </w:p>
        </w:tc>
      </w:tr>
      <w:tr w:rsidR="00DB3CC8" w:rsidRPr="0077408D" w:rsidTr="007A6359">
        <w:trPr>
          <w:trHeight w:val="360"/>
        </w:trPr>
        <w:tc>
          <w:tcPr>
            <w:tcW w:w="13230" w:type="dxa"/>
            <w:gridSpan w:val="8"/>
            <w:tcBorders>
              <w:top w:val="single" w:sz="6" w:space="0" w:color="000000"/>
              <w:left w:val="single" w:sz="6" w:space="0" w:color="000000"/>
              <w:bottom w:val="single" w:sz="6" w:space="0" w:color="000000"/>
              <w:right w:val="single" w:sz="6" w:space="0" w:color="000000"/>
            </w:tcBorders>
            <w:shd w:val="clear" w:color="auto" w:fill="auto"/>
          </w:tcPr>
          <w:p w:rsidR="00DB3CC8" w:rsidRPr="00DB3CC8" w:rsidRDefault="00DB3CC8" w:rsidP="00DB3CC8">
            <w:pPr>
              <w:spacing w:before="120" w:after="0"/>
              <w:ind w:left="396"/>
              <w:rPr>
                <w:rFonts w:asciiTheme="minorHAnsi" w:hAnsiTheme="minorHAnsi" w:cstheme="minorHAnsi"/>
                <w:sz w:val="20"/>
                <w:szCs w:val="20"/>
              </w:rPr>
            </w:pPr>
          </w:p>
        </w:tc>
      </w:tr>
    </w:tbl>
    <w:p w:rsidR="004F486C" w:rsidRDefault="004F486C"/>
    <w:sectPr w:rsidR="004F486C" w:rsidSect="007A6359">
      <w:headerReference w:type="default" r:id="rId8"/>
      <w:footerReference w:type="default" r:id="rId9"/>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C8" w:rsidRDefault="00DB3CC8" w:rsidP="000C4477">
      <w:pPr>
        <w:spacing w:after="0"/>
      </w:pPr>
      <w:r>
        <w:separator/>
      </w:r>
    </w:p>
  </w:endnote>
  <w:endnote w:type="continuationSeparator" w:id="0">
    <w:p w:rsidR="00DB3CC8" w:rsidRDefault="00DB3CC8" w:rsidP="000C4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MS Mincho" w:hAnsi="Calibri"/>
        <w:sz w:val="18"/>
        <w:szCs w:val="18"/>
      </w:rPr>
      <w:id w:val="113795258"/>
      <w:docPartObj>
        <w:docPartGallery w:val="Page Numbers (Bottom of Page)"/>
        <w:docPartUnique/>
      </w:docPartObj>
    </w:sdtPr>
    <w:sdtEndPr/>
    <w:sdtContent>
      <w:sdt>
        <w:sdtPr>
          <w:rPr>
            <w:rFonts w:ascii="Calibri" w:eastAsia="MS Mincho" w:hAnsi="Calibri"/>
            <w:sz w:val="18"/>
            <w:szCs w:val="18"/>
          </w:rPr>
          <w:id w:val="860082579"/>
          <w:docPartObj>
            <w:docPartGallery w:val="Page Numbers (Top of Page)"/>
            <w:docPartUnique/>
          </w:docPartObj>
        </w:sdtPr>
        <w:sdtEndPr/>
        <w:sdtContent>
          <w:p w:rsidR="00DB3CC8" w:rsidRPr="00781143" w:rsidRDefault="00DB3CC8" w:rsidP="007A6359">
            <w:pPr>
              <w:widowControl w:val="0"/>
              <w:tabs>
                <w:tab w:val="right" w:pos="12960"/>
              </w:tabs>
              <w:autoSpaceDE w:val="0"/>
              <w:autoSpaceDN w:val="0"/>
              <w:adjustRightInd w:val="0"/>
              <w:ind w:left="-720"/>
              <w:rPr>
                <w:rFonts w:ascii="Calibri" w:eastAsia="MS Mincho" w:hAnsi="Calibri"/>
                <w:sz w:val="18"/>
                <w:szCs w:val="18"/>
              </w:rPr>
            </w:pPr>
            <w:r>
              <w:rPr>
                <w:noProof/>
              </w:rPr>
              <w:drawing>
                <wp:inline distT="0" distB="0" distL="0" distR="0" wp14:anchorId="32DBEDB0" wp14:editId="3A3A3C00">
                  <wp:extent cx="1581150" cy="3746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374650"/>
                          </a:xfrm>
                          <a:prstGeom prst="rect">
                            <a:avLst/>
                          </a:prstGeom>
                        </pic:spPr>
                      </pic:pic>
                    </a:graphicData>
                  </a:graphic>
                </wp:inline>
              </w:drawing>
            </w:r>
            <w:r w:rsidRPr="00781143">
              <w:rPr>
                <w:rFonts w:ascii="Calibri" w:eastAsia="MS Mincho" w:hAnsi="Calibri"/>
                <w:sz w:val="18"/>
                <w:szCs w:val="18"/>
              </w:rPr>
              <w:tab/>
              <w:t xml:space="preserve">Page </w:t>
            </w:r>
            <w:r w:rsidRPr="00781143">
              <w:rPr>
                <w:rFonts w:ascii="Calibri" w:eastAsia="MS Mincho" w:hAnsi="Calibri"/>
                <w:bCs/>
                <w:sz w:val="18"/>
                <w:szCs w:val="18"/>
              </w:rPr>
              <w:fldChar w:fldCharType="begin"/>
            </w:r>
            <w:r w:rsidRPr="00781143">
              <w:rPr>
                <w:rFonts w:ascii="Calibri" w:eastAsia="MS Mincho" w:hAnsi="Calibri"/>
                <w:bCs/>
                <w:sz w:val="18"/>
                <w:szCs w:val="18"/>
              </w:rPr>
              <w:instrText xml:space="preserve"> PAGE </w:instrText>
            </w:r>
            <w:r w:rsidRPr="00781143">
              <w:rPr>
                <w:rFonts w:ascii="Calibri" w:eastAsia="MS Mincho" w:hAnsi="Calibri"/>
                <w:bCs/>
                <w:sz w:val="18"/>
                <w:szCs w:val="18"/>
              </w:rPr>
              <w:fldChar w:fldCharType="separate"/>
            </w:r>
            <w:r w:rsidR="004C7862">
              <w:rPr>
                <w:rFonts w:ascii="Calibri" w:eastAsia="MS Mincho" w:hAnsi="Calibri"/>
                <w:bCs/>
                <w:noProof/>
                <w:sz w:val="18"/>
                <w:szCs w:val="18"/>
              </w:rPr>
              <w:t>2</w:t>
            </w:r>
            <w:r w:rsidRPr="00781143">
              <w:rPr>
                <w:rFonts w:ascii="Calibri" w:eastAsia="MS Mincho" w:hAnsi="Calibri"/>
                <w:bCs/>
                <w:sz w:val="18"/>
                <w:szCs w:val="18"/>
              </w:rPr>
              <w:fldChar w:fldCharType="end"/>
            </w:r>
            <w:r w:rsidRPr="00781143">
              <w:rPr>
                <w:rFonts w:ascii="Calibri" w:eastAsia="MS Mincho" w:hAnsi="Calibri"/>
                <w:sz w:val="18"/>
                <w:szCs w:val="18"/>
              </w:rPr>
              <w:t xml:space="preserve"> of </w:t>
            </w:r>
            <w:r w:rsidRPr="00781143">
              <w:rPr>
                <w:rFonts w:ascii="Calibri" w:eastAsia="MS Mincho" w:hAnsi="Calibri"/>
                <w:bCs/>
                <w:sz w:val="18"/>
                <w:szCs w:val="18"/>
              </w:rPr>
              <w:fldChar w:fldCharType="begin"/>
            </w:r>
            <w:r w:rsidRPr="00781143">
              <w:rPr>
                <w:rFonts w:ascii="Calibri" w:eastAsia="MS Mincho" w:hAnsi="Calibri"/>
                <w:bCs/>
                <w:sz w:val="18"/>
                <w:szCs w:val="18"/>
              </w:rPr>
              <w:instrText xml:space="preserve"> NUMPAGES  </w:instrText>
            </w:r>
            <w:r w:rsidRPr="00781143">
              <w:rPr>
                <w:rFonts w:ascii="Calibri" w:eastAsia="MS Mincho" w:hAnsi="Calibri"/>
                <w:bCs/>
                <w:sz w:val="18"/>
                <w:szCs w:val="18"/>
              </w:rPr>
              <w:fldChar w:fldCharType="separate"/>
            </w:r>
            <w:r w:rsidR="004C7862">
              <w:rPr>
                <w:rFonts w:ascii="Calibri" w:eastAsia="MS Mincho" w:hAnsi="Calibri"/>
                <w:bCs/>
                <w:noProof/>
                <w:sz w:val="18"/>
                <w:szCs w:val="18"/>
              </w:rPr>
              <w:t>3</w:t>
            </w:r>
            <w:r w:rsidRPr="00781143">
              <w:rPr>
                <w:rFonts w:ascii="Calibri" w:eastAsia="MS Mincho" w:hAnsi="Calibri"/>
                <w:bCs/>
                <w:sz w:val="18"/>
                <w:szCs w:val="18"/>
              </w:rPr>
              <w:fldChar w:fldCharType="end"/>
            </w:r>
          </w:p>
        </w:sdtContent>
      </w:sdt>
    </w:sdtContent>
  </w:sdt>
  <w:p w:rsidR="00DB3CC8" w:rsidRPr="0077408D" w:rsidRDefault="00DB3CC8" w:rsidP="0077408D">
    <w:pPr>
      <w:widowControl w:val="0"/>
      <w:tabs>
        <w:tab w:val="right" w:pos="12960"/>
      </w:tabs>
      <w:autoSpaceDE w:val="0"/>
      <w:autoSpaceDN w:val="0"/>
      <w:adjustRightInd w:val="0"/>
      <w:rPr>
        <w:rFonts w:ascii="Calibri" w:eastAsia="MS Mincho" w:hAnsi="Calibri"/>
        <w:sz w:val="16"/>
        <w:szCs w:val="16"/>
      </w:rPr>
    </w:pPr>
    <w:r>
      <w:rPr>
        <w:rFonts w:ascii="Calibri" w:eastAsia="MS Mincho" w:hAnsi="Calibri"/>
        <w:sz w:val="16"/>
        <w:szCs w:val="16"/>
      </w:rPr>
      <w:t>Form</w:t>
    </w:r>
    <w:r w:rsidRPr="00781143">
      <w:rPr>
        <w:rFonts w:ascii="Calibri" w:eastAsia="MS Mincho" w:hAnsi="Calibri"/>
        <w:sz w:val="16"/>
        <w:szCs w:val="16"/>
      </w:rPr>
      <w:t xml:space="preserve"> </w:t>
    </w:r>
    <w:r>
      <w:rPr>
        <w:rFonts w:ascii="Calibri" w:eastAsia="MS Mincho" w:hAnsi="Calibri"/>
        <w:sz w:val="16"/>
        <w:szCs w:val="16"/>
      </w:rPr>
      <w:t>updated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C8" w:rsidRDefault="00DB3CC8" w:rsidP="000C4477">
      <w:pPr>
        <w:spacing w:after="0"/>
      </w:pPr>
      <w:r>
        <w:separator/>
      </w:r>
    </w:p>
  </w:footnote>
  <w:footnote w:type="continuationSeparator" w:id="0">
    <w:p w:rsidR="00DB3CC8" w:rsidRDefault="00DB3CC8" w:rsidP="000C44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8" w:rsidRPr="0077408D" w:rsidRDefault="00DB3CC8" w:rsidP="0077408D">
    <w:pPr>
      <w:pStyle w:val="Heading3"/>
      <w:rPr>
        <w:rFonts w:asciiTheme="minorHAnsi" w:hAnsiTheme="minorHAnsi" w:cstheme="minorHAnsi"/>
      </w:rPr>
    </w:pPr>
    <w:bookmarkStart w:id="1" w:name="_Toc420060276"/>
    <w:r w:rsidRPr="0077408D">
      <w:rPr>
        <w:rStyle w:val="Heading2Char"/>
        <w:rFonts w:asciiTheme="minorHAnsi" w:hAnsiTheme="minorHAnsi" w:cstheme="minorHAnsi"/>
        <w:b/>
      </w:rPr>
      <w:t>Attachment M</w:t>
    </w:r>
    <w:r w:rsidRPr="0077408D">
      <w:rPr>
        <w:rStyle w:val="Heading3Char"/>
        <w:rFonts w:asciiTheme="minorHAnsi" w:hAnsiTheme="minorHAnsi" w:cstheme="minorHAnsi"/>
        <w:b/>
      </w:rPr>
      <w:t xml:space="preserve"> – T</w:t>
    </w:r>
    <w:r w:rsidRPr="0077408D">
      <w:rPr>
        <w:rStyle w:val="Heading2Char"/>
        <w:rFonts w:asciiTheme="minorHAnsi" w:hAnsiTheme="minorHAnsi" w:cstheme="minorHAnsi"/>
        <w:b/>
      </w:rPr>
      <w:t>able 005.02-1 Professional Education Competencies</w:t>
    </w:r>
    <w:bookmarkEnd w:id="1"/>
  </w:p>
  <w:p w:rsidR="00DB3CC8" w:rsidRPr="0077408D" w:rsidRDefault="00DB3CC8" w:rsidP="00774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0769"/>
    <w:multiLevelType w:val="hybridMultilevel"/>
    <w:tmpl w:val="D65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77"/>
    <w:rsid w:val="000C4477"/>
    <w:rsid w:val="00344B1F"/>
    <w:rsid w:val="00397CF5"/>
    <w:rsid w:val="004C7862"/>
    <w:rsid w:val="004F486C"/>
    <w:rsid w:val="0051006E"/>
    <w:rsid w:val="006B7360"/>
    <w:rsid w:val="006F2DFD"/>
    <w:rsid w:val="0077408D"/>
    <w:rsid w:val="007A6359"/>
    <w:rsid w:val="00A43F84"/>
    <w:rsid w:val="00BB0944"/>
    <w:rsid w:val="00BE569E"/>
    <w:rsid w:val="00DB3CC8"/>
    <w:rsid w:val="00E9638C"/>
    <w:rsid w:val="00EA0028"/>
    <w:rsid w:val="00F1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77"/>
    <w:pPr>
      <w:spacing w:line="240" w:lineRule="auto"/>
    </w:pPr>
    <w:rPr>
      <w:rFonts w:asciiTheme="majorHAnsi" w:eastAsia="Calibri" w:hAnsiTheme="majorHAnsi" w:cs="Times New Roman"/>
      <w:sz w:val="24"/>
    </w:rPr>
  </w:style>
  <w:style w:type="paragraph" w:styleId="Heading2">
    <w:name w:val="heading 2"/>
    <w:basedOn w:val="Normal"/>
    <w:next w:val="Normal"/>
    <w:link w:val="Heading2Char"/>
    <w:uiPriority w:val="9"/>
    <w:unhideWhenUsed/>
    <w:qFormat/>
    <w:rsid w:val="000C4477"/>
    <w:pPr>
      <w:spacing w:after="0"/>
      <w:jc w:val="center"/>
      <w:outlineLvl w:val="1"/>
    </w:pPr>
    <w:rPr>
      <w:rFonts w:cs="Calibri"/>
      <w:b/>
      <w:szCs w:val="24"/>
      <w:u w:val="single"/>
    </w:rPr>
  </w:style>
  <w:style w:type="paragraph" w:styleId="Heading3">
    <w:name w:val="heading 3"/>
    <w:basedOn w:val="Normal"/>
    <w:next w:val="Normal"/>
    <w:link w:val="Heading3Char"/>
    <w:uiPriority w:val="9"/>
    <w:unhideWhenUsed/>
    <w:qFormat/>
    <w:rsid w:val="000C4477"/>
    <w:pPr>
      <w:spacing w:after="0"/>
      <w:jc w:val="center"/>
      <w:outlineLvl w:val="2"/>
    </w:pPr>
    <w:rPr>
      <w:rFonts w:ascii="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477"/>
    <w:rPr>
      <w:rFonts w:asciiTheme="majorHAnsi" w:eastAsia="Calibri" w:hAnsiTheme="majorHAnsi" w:cs="Calibri"/>
      <w:b/>
      <w:sz w:val="24"/>
      <w:szCs w:val="24"/>
      <w:u w:val="single"/>
    </w:rPr>
  </w:style>
  <w:style w:type="character" w:customStyle="1" w:styleId="Heading3Char">
    <w:name w:val="Heading 3 Char"/>
    <w:basedOn w:val="DefaultParagraphFont"/>
    <w:link w:val="Heading3"/>
    <w:uiPriority w:val="9"/>
    <w:rsid w:val="000C4477"/>
    <w:rPr>
      <w:rFonts w:ascii="Times New Roman" w:eastAsia="Calibri" w:hAnsi="Times New Roman" w:cs="Times New Roman"/>
      <w:b/>
      <w:sz w:val="24"/>
      <w:szCs w:val="24"/>
      <w:u w:val="single"/>
    </w:rPr>
  </w:style>
  <w:style w:type="paragraph" w:styleId="ListParagraph">
    <w:name w:val="List Paragraph"/>
    <w:basedOn w:val="Normal"/>
    <w:uiPriority w:val="34"/>
    <w:qFormat/>
    <w:rsid w:val="000C4477"/>
    <w:pPr>
      <w:ind w:left="720"/>
      <w:contextualSpacing/>
    </w:pPr>
  </w:style>
  <w:style w:type="paragraph" w:styleId="Header">
    <w:name w:val="header"/>
    <w:basedOn w:val="Normal"/>
    <w:link w:val="HeaderChar"/>
    <w:uiPriority w:val="99"/>
    <w:unhideWhenUsed/>
    <w:rsid w:val="000C4477"/>
    <w:pPr>
      <w:tabs>
        <w:tab w:val="center" w:pos="4680"/>
        <w:tab w:val="right" w:pos="9360"/>
      </w:tabs>
      <w:spacing w:after="0"/>
    </w:pPr>
  </w:style>
  <w:style w:type="character" w:customStyle="1" w:styleId="HeaderChar">
    <w:name w:val="Header Char"/>
    <w:basedOn w:val="DefaultParagraphFont"/>
    <w:link w:val="Header"/>
    <w:uiPriority w:val="99"/>
    <w:rsid w:val="000C4477"/>
    <w:rPr>
      <w:rFonts w:asciiTheme="majorHAnsi" w:eastAsia="Calibri" w:hAnsiTheme="majorHAnsi" w:cs="Times New Roman"/>
      <w:sz w:val="24"/>
    </w:rPr>
  </w:style>
  <w:style w:type="paragraph" w:styleId="Footer">
    <w:name w:val="footer"/>
    <w:basedOn w:val="Normal"/>
    <w:link w:val="FooterChar"/>
    <w:uiPriority w:val="99"/>
    <w:unhideWhenUsed/>
    <w:rsid w:val="000C4477"/>
    <w:pPr>
      <w:tabs>
        <w:tab w:val="center" w:pos="4680"/>
        <w:tab w:val="right" w:pos="9360"/>
      </w:tabs>
      <w:spacing w:after="0"/>
    </w:pPr>
  </w:style>
  <w:style w:type="character" w:customStyle="1" w:styleId="FooterChar">
    <w:name w:val="Footer Char"/>
    <w:basedOn w:val="DefaultParagraphFont"/>
    <w:link w:val="Footer"/>
    <w:uiPriority w:val="99"/>
    <w:rsid w:val="000C4477"/>
    <w:rPr>
      <w:rFonts w:asciiTheme="majorHAnsi" w:eastAsia="Calibri" w:hAnsiTheme="majorHAns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77"/>
    <w:pPr>
      <w:spacing w:line="240" w:lineRule="auto"/>
    </w:pPr>
    <w:rPr>
      <w:rFonts w:asciiTheme="majorHAnsi" w:eastAsia="Calibri" w:hAnsiTheme="majorHAnsi" w:cs="Times New Roman"/>
      <w:sz w:val="24"/>
    </w:rPr>
  </w:style>
  <w:style w:type="paragraph" w:styleId="Heading2">
    <w:name w:val="heading 2"/>
    <w:basedOn w:val="Normal"/>
    <w:next w:val="Normal"/>
    <w:link w:val="Heading2Char"/>
    <w:uiPriority w:val="9"/>
    <w:unhideWhenUsed/>
    <w:qFormat/>
    <w:rsid w:val="000C4477"/>
    <w:pPr>
      <w:spacing w:after="0"/>
      <w:jc w:val="center"/>
      <w:outlineLvl w:val="1"/>
    </w:pPr>
    <w:rPr>
      <w:rFonts w:cs="Calibri"/>
      <w:b/>
      <w:szCs w:val="24"/>
      <w:u w:val="single"/>
    </w:rPr>
  </w:style>
  <w:style w:type="paragraph" w:styleId="Heading3">
    <w:name w:val="heading 3"/>
    <w:basedOn w:val="Normal"/>
    <w:next w:val="Normal"/>
    <w:link w:val="Heading3Char"/>
    <w:uiPriority w:val="9"/>
    <w:unhideWhenUsed/>
    <w:qFormat/>
    <w:rsid w:val="000C4477"/>
    <w:pPr>
      <w:spacing w:after="0"/>
      <w:jc w:val="center"/>
      <w:outlineLvl w:val="2"/>
    </w:pPr>
    <w:rPr>
      <w:rFonts w:ascii="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477"/>
    <w:rPr>
      <w:rFonts w:asciiTheme="majorHAnsi" w:eastAsia="Calibri" w:hAnsiTheme="majorHAnsi" w:cs="Calibri"/>
      <w:b/>
      <w:sz w:val="24"/>
      <w:szCs w:val="24"/>
      <w:u w:val="single"/>
    </w:rPr>
  </w:style>
  <w:style w:type="character" w:customStyle="1" w:styleId="Heading3Char">
    <w:name w:val="Heading 3 Char"/>
    <w:basedOn w:val="DefaultParagraphFont"/>
    <w:link w:val="Heading3"/>
    <w:uiPriority w:val="9"/>
    <w:rsid w:val="000C4477"/>
    <w:rPr>
      <w:rFonts w:ascii="Times New Roman" w:eastAsia="Calibri" w:hAnsi="Times New Roman" w:cs="Times New Roman"/>
      <w:b/>
      <w:sz w:val="24"/>
      <w:szCs w:val="24"/>
      <w:u w:val="single"/>
    </w:rPr>
  </w:style>
  <w:style w:type="paragraph" w:styleId="ListParagraph">
    <w:name w:val="List Paragraph"/>
    <w:basedOn w:val="Normal"/>
    <w:uiPriority w:val="34"/>
    <w:qFormat/>
    <w:rsid w:val="000C4477"/>
    <w:pPr>
      <w:ind w:left="720"/>
      <w:contextualSpacing/>
    </w:pPr>
  </w:style>
  <w:style w:type="paragraph" w:styleId="Header">
    <w:name w:val="header"/>
    <w:basedOn w:val="Normal"/>
    <w:link w:val="HeaderChar"/>
    <w:uiPriority w:val="99"/>
    <w:unhideWhenUsed/>
    <w:rsid w:val="000C4477"/>
    <w:pPr>
      <w:tabs>
        <w:tab w:val="center" w:pos="4680"/>
        <w:tab w:val="right" w:pos="9360"/>
      </w:tabs>
      <w:spacing w:after="0"/>
    </w:pPr>
  </w:style>
  <w:style w:type="character" w:customStyle="1" w:styleId="HeaderChar">
    <w:name w:val="Header Char"/>
    <w:basedOn w:val="DefaultParagraphFont"/>
    <w:link w:val="Header"/>
    <w:uiPriority w:val="99"/>
    <w:rsid w:val="000C4477"/>
    <w:rPr>
      <w:rFonts w:asciiTheme="majorHAnsi" w:eastAsia="Calibri" w:hAnsiTheme="majorHAnsi" w:cs="Times New Roman"/>
      <w:sz w:val="24"/>
    </w:rPr>
  </w:style>
  <w:style w:type="paragraph" w:styleId="Footer">
    <w:name w:val="footer"/>
    <w:basedOn w:val="Normal"/>
    <w:link w:val="FooterChar"/>
    <w:uiPriority w:val="99"/>
    <w:unhideWhenUsed/>
    <w:rsid w:val="000C4477"/>
    <w:pPr>
      <w:tabs>
        <w:tab w:val="center" w:pos="4680"/>
        <w:tab w:val="right" w:pos="9360"/>
      </w:tabs>
      <w:spacing w:after="0"/>
    </w:pPr>
  </w:style>
  <w:style w:type="character" w:customStyle="1" w:styleId="FooterChar">
    <w:name w:val="Footer Char"/>
    <w:basedOn w:val="DefaultParagraphFont"/>
    <w:link w:val="Footer"/>
    <w:uiPriority w:val="99"/>
    <w:rsid w:val="000C4477"/>
    <w:rPr>
      <w:rFonts w:asciiTheme="majorHAnsi" w:eastAsia="Calibri" w:hAnsiTheme="majorHAns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22F2FA39.dotm</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Madsen</dc:creator>
  <cp:lastModifiedBy>Karen Buller</cp:lastModifiedBy>
  <cp:revision>2</cp:revision>
  <dcterms:created xsi:type="dcterms:W3CDTF">2016-03-07T22:45:00Z</dcterms:created>
  <dcterms:modified xsi:type="dcterms:W3CDTF">2016-03-07T22:45:00Z</dcterms:modified>
</cp:coreProperties>
</file>